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969D4" w14:textId="67FB35CC" w:rsidR="002C2BE2" w:rsidRPr="00194BB8" w:rsidRDefault="00194BB8">
      <w:pPr>
        <w:rPr>
          <w:rFonts w:cstheme="minorHAnsi"/>
          <w:sz w:val="32"/>
          <w:szCs w:val="32"/>
        </w:rPr>
      </w:pPr>
      <w:r w:rsidRPr="00194BB8">
        <w:rPr>
          <w:rFonts w:cstheme="minorHAnsi"/>
          <w:sz w:val="32"/>
          <w:szCs w:val="32"/>
        </w:rPr>
        <w:t>A ajuda de uma estrela gémea do Sol</w:t>
      </w:r>
    </w:p>
    <w:p w14:paraId="2B4BC959" w14:textId="157826F0" w:rsidR="00194BB8" w:rsidRPr="00194BB8" w:rsidRDefault="00194BB8">
      <w:pPr>
        <w:rPr>
          <w:rFonts w:cstheme="minorHAnsi"/>
          <w:sz w:val="24"/>
          <w:szCs w:val="24"/>
        </w:rPr>
      </w:pPr>
    </w:p>
    <w:p w14:paraId="09E3B9B7" w14:textId="77777777" w:rsidR="00D41F67" w:rsidRDefault="00194BB8" w:rsidP="00D41F67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>O estudo de uma estrela g</w:t>
      </w:r>
      <w:r w:rsidRPr="006110A6">
        <w:rPr>
          <w:rFonts w:asciiTheme="minorHAnsi" w:hAnsiTheme="minorHAnsi" w:cstheme="minorHAnsi"/>
          <w:sz w:val="24"/>
          <w:szCs w:val="24"/>
        </w:rPr>
        <w:t>émea do Sol ajuda a compreender o ciclo solar e o seu efeito no clima da Terra</w:t>
      </w:r>
      <w:r w:rsidRPr="006110A6">
        <w:rPr>
          <w:rFonts w:asciiTheme="minorHAnsi" w:hAnsiTheme="minorHAnsi" w:cstheme="minorHAnsi"/>
          <w:sz w:val="24"/>
          <w:szCs w:val="24"/>
        </w:rPr>
        <w:t>.</w:t>
      </w:r>
    </w:p>
    <w:p w14:paraId="58A04296" w14:textId="77777777" w:rsidR="00D41F67" w:rsidRDefault="00D41F67" w:rsidP="00D41F67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6D10A6BB" w14:textId="44F973AC" w:rsidR="00D41F67" w:rsidRPr="00D41F67" w:rsidRDefault="006110A6" w:rsidP="00D41F67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Uma equipa </w:t>
      </w:r>
      <w:r w:rsidRPr="00D41F67">
        <w:rPr>
          <w:rFonts w:asciiTheme="minorHAnsi" w:hAnsiTheme="minorHAnsi" w:cstheme="minorHAnsi"/>
          <w:sz w:val="24"/>
          <w:szCs w:val="24"/>
        </w:rPr>
        <w:t>internacional</w:t>
      </w:r>
      <w:r w:rsidR="00D41F67" w:rsidRPr="00D41F67">
        <w:rPr>
          <w:rFonts w:asciiTheme="minorHAnsi" w:hAnsiTheme="minorHAnsi" w:cstheme="minorHAnsi"/>
          <w:sz w:val="24"/>
          <w:szCs w:val="24"/>
        </w:rPr>
        <w:t xml:space="preserve"> de astrónomos</w:t>
      </w:r>
      <w:r w:rsidRPr="00D41F67">
        <w:rPr>
          <w:rFonts w:asciiTheme="minorHAnsi" w:hAnsiTheme="minorHAnsi" w:cstheme="minorHAnsi"/>
          <w:sz w:val="24"/>
          <w:szCs w:val="24"/>
        </w:rPr>
        <w:t xml:space="preserve">, que inclui </w:t>
      </w:r>
      <w:r w:rsidRPr="006110A6">
        <w:rPr>
          <w:rFonts w:asciiTheme="minorHAnsi" w:hAnsiTheme="minorHAnsi" w:cstheme="minorHAnsi"/>
          <w:sz w:val="24"/>
          <w:szCs w:val="24"/>
        </w:rPr>
        <w:t>vários investigadores do Instituto de Astrofísica e Ciências do Espaço (</w:t>
      </w:r>
      <w:hyperlink r:id="rId5">
        <w:r w:rsidRPr="006110A6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6110A6">
        <w:rPr>
          <w:rFonts w:asciiTheme="minorHAnsi" w:hAnsiTheme="minorHAnsi" w:cstheme="minorHAnsi"/>
          <w:sz w:val="24"/>
          <w:szCs w:val="24"/>
        </w:rPr>
        <w:t xml:space="preserve">), usou observações do telescópio espacial </w:t>
      </w:r>
      <w:hyperlink r:id="rId6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Kepler</w:t>
        </w:r>
      </w:hyperlink>
      <w:r w:rsidRPr="006110A6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NASA</w:t>
        </w:r>
      </w:hyperlink>
      <w:r w:rsidRPr="006110A6">
        <w:rPr>
          <w:rFonts w:asciiTheme="minorHAnsi" w:hAnsiTheme="minorHAnsi" w:cstheme="minorHAnsi"/>
          <w:sz w:val="24"/>
          <w:szCs w:val="24"/>
        </w:rPr>
        <w:t xml:space="preserve">) e outros telescópios à superfície da Terra, para observar a estrela análoga ao Sol HD 173701. </w:t>
      </w:r>
      <w:r w:rsidR="00D41F67" w:rsidRPr="00D41F67">
        <w:rPr>
          <w:rFonts w:asciiTheme="minorHAnsi" w:hAnsiTheme="minorHAnsi" w:cstheme="minorHAnsi"/>
          <w:bCs/>
          <w:sz w:val="24"/>
          <w:szCs w:val="24"/>
        </w:rPr>
        <w:t>Uma estrela análoga ao Sol é uma estrela com massa, diâmetro, temperatura e idade semelhantes ao Sol, mas que pode ter uma composição química diferente.</w:t>
      </w:r>
      <w:r w:rsidR="00D41F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110A6">
        <w:rPr>
          <w:rFonts w:asciiTheme="minorHAnsi" w:hAnsiTheme="minorHAnsi" w:cstheme="minorHAnsi"/>
          <w:sz w:val="24"/>
          <w:szCs w:val="24"/>
        </w:rPr>
        <w:t xml:space="preserve">As observações apontam para que a diferença do ciclo de atividade entre esta estrela e o Sol é devida à diferença da metalicidade das </w:t>
      </w:r>
      <w:r w:rsidRPr="00D41F67">
        <w:rPr>
          <w:rFonts w:asciiTheme="minorHAnsi" w:hAnsiTheme="minorHAnsi" w:cstheme="minorHAnsi"/>
          <w:sz w:val="24"/>
          <w:szCs w:val="24"/>
        </w:rPr>
        <w:t xml:space="preserve">duas estrelas. </w:t>
      </w:r>
      <w:r w:rsidR="00D41F67" w:rsidRPr="00D41F67">
        <w:rPr>
          <w:rFonts w:asciiTheme="minorHAnsi" w:hAnsiTheme="minorHAnsi" w:cstheme="minorHAnsi"/>
          <w:bCs/>
          <w:sz w:val="24"/>
          <w:szCs w:val="24"/>
        </w:rPr>
        <w:t>A metalicidade de uma estrela refere-se à quantidade de “metais” que existem na sua composição.</w:t>
      </w:r>
      <w:r w:rsidR="00D41F6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41F67" w:rsidRPr="00D41F67">
        <w:rPr>
          <w:rFonts w:asciiTheme="minorHAnsi" w:hAnsiTheme="minorHAnsi" w:cstheme="minorHAnsi"/>
          <w:bCs/>
          <w:sz w:val="24"/>
          <w:szCs w:val="24"/>
        </w:rPr>
        <w:t xml:space="preserve">Em astronomia, os elementos que não são hidrogénio e hélio são vulgarmente designados </w:t>
      </w:r>
      <w:r w:rsidR="0038428D">
        <w:rPr>
          <w:rFonts w:asciiTheme="minorHAnsi" w:hAnsiTheme="minorHAnsi" w:cstheme="minorHAnsi"/>
          <w:bCs/>
          <w:sz w:val="24"/>
          <w:szCs w:val="24"/>
        </w:rPr>
        <w:t xml:space="preserve">por </w:t>
      </w:r>
      <w:r w:rsidR="00D41F67" w:rsidRPr="00D41F67">
        <w:rPr>
          <w:rFonts w:asciiTheme="minorHAnsi" w:hAnsiTheme="minorHAnsi" w:cstheme="minorHAnsi"/>
          <w:bCs/>
          <w:sz w:val="24"/>
          <w:szCs w:val="24"/>
        </w:rPr>
        <w:t xml:space="preserve">“metais”. </w:t>
      </w:r>
    </w:p>
    <w:p w14:paraId="360BF232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Para </w:t>
      </w:r>
      <w:hyperlink r:id="rId8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Tiago </w:t>
        </w:r>
        <w:proofErr w:type="spellStart"/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Campante</w:t>
        </w:r>
        <w:proofErr w:type="spellEnd"/>
      </w:hyperlink>
      <w:r w:rsidRPr="006110A6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9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do Porto</w:t>
        </w:r>
      </w:hyperlink>
      <w:r w:rsidRPr="006110A6">
        <w:rPr>
          <w:rFonts w:asciiTheme="minorHAnsi" w:hAnsiTheme="minorHAnsi" w:cstheme="minorHAnsi"/>
          <w:sz w:val="24"/>
          <w:szCs w:val="24"/>
        </w:rPr>
        <w:t>): “Do mesmo modo que estudos envolvendo irmãos, ou até gémeos, têm um papel importante no campo da psicologia do desenvolvimento, estudos de estrelas análogas ao Sol permitem aos astrofísicos enquadrá-lo do ponto de vista evolutivo e da sua estrutura interna. O presente estudo da variabilidade de uma estrela análoga ao Sol vai permitir-nos melhor compreender os mecanismos físicos subjacentes ao próprio ciclo solar. Este tipo de conhecimento é extremamente valioso e pode, por exemplo, ajudar-nos a perceber de que forma o Sol afeta o clima no nosso planeta”.</w:t>
      </w:r>
    </w:p>
    <w:p w14:paraId="46F341DF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A observação de manchas à superfície do Sol permitiu determinar que o Sol tem uma variabilidade na sua atividade magnética com um período de cerca de 11 anos – o ciclo solar. Este ciclo é regido pelo dínamo solar, que resulta da interação entre os campos magnéticos, a convecção e a rotação diferencial do Sol. No entanto, a física por detrás do dínamo solar ainda não é totalmente conhecida. </w:t>
      </w:r>
    </w:p>
    <w:p w14:paraId="218876F8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Para a ex-aluna de doutoramento do IA e da FCUP, </w:t>
      </w:r>
      <w:hyperlink r:id="rId10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Ângela Santos</w:t>
        </w:r>
      </w:hyperlink>
      <w:r w:rsidRPr="006110A6">
        <w:rPr>
          <w:rFonts w:asciiTheme="minorHAnsi" w:hAnsiTheme="minorHAnsi" w:cstheme="minorHAnsi"/>
          <w:sz w:val="24"/>
          <w:szCs w:val="24"/>
        </w:rPr>
        <w:t xml:space="preserve">: “Estudar outras estrelas, especialmente aquelas que são semelhantes ao Sol, ajuda-nos a conhecer e a compreender melhor a nossa própria estrela”. </w:t>
      </w:r>
    </w:p>
    <w:p w14:paraId="013C571C" w14:textId="1121BC65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A estrela HD 173701 é uma dessas estrelas. A equipa analisou observações desta estrela, </w:t>
      </w:r>
      <w:r w:rsidRPr="00187091">
        <w:rPr>
          <w:rFonts w:asciiTheme="minorHAnsi" w:hAnsiTheme="minorHAnsi" w:cstheme="minorHAnsi"/>
          <w:sz w:val="24"/>
          <w:szCs w:val="24"/>
        </w:rPr>
        <w:t xml:space="preserve">que vão desde 1978 até às mais recentes, obtidas com o telescópio espacial Kepler, para determinar que o seu ciclo é de 7,4 anos. As observações, que envolveram uma combinação de fotometria, espectroscopia e </w:t>
      </w:r>
      <w:proofErr w:type="spellStart"/>
      <w:r w:rsidRPr="00187091">
        <w:rPr>
          <w:rFonts w:asciiTheme="minorHAnsi" w:hAnsiTheme="minorHAnsi" w:cstheme="minorHAnsi"/>
          <w:sz w:val="24"/>
          <w:szCs w:val="24"/>
        </w:rPr>
        <w:t>asterossismologia</w:t>
      </w:r>
      <w:proofErr w:type="spellEnd"/>
      <w:r w:rsidR="00187091" w:rsidRPr="00187091">
        <w:rPr>
          <w:rFonts w:asciiTheme="minorHAnsi" w:hAnsiTheme="minorHAnsi" w:cstheme="minorHAnsi"/>
          <w:sz w:val="24"/>
          <w:szCs w:val="24"/>
        </w:rPr>
        <w:t xml:space="preserve"> (</w:t>
      </w:r>
      <w:r w:rsidR="00187091" w:rsidRPr="00187091">
        <w:rPr>
          <w:rFonts w:asciiTheme="minorHAnsi" w:hAnsiTheme="minorHAnsi" w:cstheme="minorHAnsi"/>
          <w:sz w:val="24"/>
          <w:szCs w:val="24"/>
        </w:rPr>
        <w:t>o estudo do interior das estrelas, através da sua atividade sísmica medida à superfície</w:t>
      </w:r>
      <w:r w:rsidR="00187091" w:rsidRPr="00187091">
        <w:rPr>
          <w:rFonts w:asciiTheme="minorHAnsi" w:hAnsiTheme="minorHAnsi" w:cstheme="minorHAnsi"/>
          <w:sz w:val="24"/>
          <w:szCs w:val="24"/>
        </w:rPr>
        <w:t>)</w:t>
      </w:r>
      <w:r w:rsidRPr="00187091">
        <w:rPr>
          <w:rFonts w:asciiTheme="minorHAnsi" w:hAnsiTheme="minorHAnsi" w:cstheme="minorHAnsi"/>
          <w:sz w:val="24"/>
          <w:szCs w:val="24"/>
        </w:rPr>
        <w:t>, determinaram</w:t>
      </w:r>
      <w:r w:rsidRPr="006110A6">
        <w:rPr>
          <w:rFonts w:asciiTheme="minorHAnsi" w:hAnsiTheme="minorHAnsi" w:cstheme="minorHAnsi"/>
          <w:sz w:val="24"/>
          <w:szCs w:val="24"/>
        </w:rPr>
        <w:t xml:space="preserve"> que a amplitude do ciclo desta estrela é mais do dobro que a do Sol.</w:t>
      </w:r>
    </w:p>
    <w:p w14:paraId="02E6878C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Sendo a única </w:t>
      </w:r>
      <w:bookmarkStart w:id="0" w:name="_GoBack"/>
      <w:bookmarkEnd w:id="0"/>
      <w:r w:rsidRPr="006110A6">
        <w:rPr>
          <w:rFonts w:asciiTheme="minorHAnsi" w:hAnsiTheme="minorHAnsi" w:cstheme="minorHAnsi"/>
          <w:sz w:val="24"/>
          <w:szCs w:val="24"/>
        </w:rPr>
        <w:t>diferença entre as duas estrelas a metalicidade, com a HD 173701 a apresentar quase o dobro dos “metais” que tem o Sol, parece indicar que a metalicidade é um fator importante na variabilidade das estrelas.</w:t>
      </w:r>
    </w:p>
    <w:p w14:paraId="24F236A7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 xml:space="preserve">Santos, atualmente a trabalhar no </w:t>
      </w:r>
      <w:proofErr w:type="spellStart"/>
      <w:r w:rsidRPr="006110A6">
        <w:rPr>
          <w:rFonts w:asciiTheme="minorHAnsi" w:hAnsiTheme="minorHAnsi" w:cstheme="minorHAnsi"/>
          <w:sz w:val="24"/>
          <w:szCs w:val="24"/>
        </w:rPr>
        <w:t>Space</w:t>
      </w:r>
      <w:proofErr w:type="spellEnd"/>
      <w:r w:rsidRPr="00611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10A6">
        <w:rPr>
          <w:rFonts w:asciiTheme="minorHAnsi" w:hAnsiTheme="minorHAnsi" w:cstheme="minorHAnsi"/>
          <w:sz w:val="24"/>
          <w:szCs w:val="24"/>
        </w:rPr>
        <w:t>Science</w:t>
      </w:r>
      <w:proofErr w:type="spellEnd"/>
      <w:r w:rsidRPr="00611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10A6">
        <w:rPr>
          <w:rFonts w:asciiTheme="minorHAnsi" w:hAnsiTheme="minorHAnsi" w:cstheme="minorHAnsi"/>
          <w:sz w:val="24"/>
          <w:szCs w:val="24"/>
        </w:rPr>
        <w:t>Institute</w:t>
      </w:r>
      <w:proofErr w:type="spellEnd"/>
      <w:r w:rsidRPr="006110A6">
        <w:rPr>
          <w:rFonts w:asciiTheme="minorHAnsi" w:hAnsiTheme="minorHAnsi" w:cstheme="minorHAnsi"/>
          <w:sz w:val="24"/>
          <w:szCs w:val="24"/>
        </w:rPr>
        <w:t xml:space="preserve"> (</w:t>
      </w:r>
      <w:hyperlink r:id="rId11" w:history="1">
        <w:r w:rsidRPr="006110A6">
          <w:rPr>
            <w:rStyle w:val="Hiperligao"/>
            <w:rFonts w:asciiTheme="minorHAnsi" w:hAnsiTheme="minorHAnsi" w:cstheme="minorHAnsi"/>
            <w:sz w:val="24"/>
            <w:szCs w:val="24"/>
          </w:rPr>
          <w:t>SSI</w:t>
        </w:r>
      </w:hyperlink>
      <w:r w:rsidRPr="006110A6">
        <w:rPr>
          <w:rFonts w:asciiTheme="minorHAnsi" w:hAnsiTheme="minorHAnsi" w:cstheme="minorHAnsi"/>
          <w:sz w:val="24"/>
          <w:szCs w:val="24"/>
        </w:rPr>
        <w:t>) em Boulder (E.U.A.), acrescenta ainda: “Através de estudos como este, que envolveu diferentes tipos de observações, componentes e técnicas, podemos obter informações detalhadas sobre as propriedades das estrelas, incluindo propriedades magnéticas. E assim compreender melhor os processos físicos que dão origem aos ciclos de atividade magnética.”</w:t>
      </w:r>
    </w:p>
    <w:p w14:paraId="7B2766AD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319AFC06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>Com base em modelos físicos, a equipa adianta uma explicação com duas componentes para a diferença de comportamento entre o Sol e a HD 173701. Em primeiro lugar, os elementos mais pesados fazem com que a estrela fique mais opaca e o transporte de energia no interior da estrela muda de radiativo para convectivo, que é mais eficiente. Isto torna o dínamo mais potente, o que influencia a amplitude da variabilidade e a rotação da estrela. Em segundo lugar, esses elementos influenciam os processos que ocorrem à superfície e na atmosfera da estrela, em particular, aumentam o contraste entre as regiões mais brilhantes (denominadas fáculas) e o resto do Sol, que por sua vez aumenta a variabilidade da estrela.</w:t>
      </w:r>
    </w:p>
    <w:p w14:paraId="5D22A3A8" w14:textId="3119C70F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6110A6">
        <w:rPr>
          <w:rFonts w:asciiTheme="minorHAnsi" w:hAnsiTheme="minorHAnsi" w:cstheme="minorHAnsi"/>
          <w:sz w:val="24"/>
          <w:szCs w:val="24"/>
        </w:rPr>
        <w:t>Este estud</w:t>
      </w:r>
      <w:r w:rsidRPr="0038428D">
        <w:rPr>
          <w:rFonts w:asciiTheme="minorHAnsi" w:hAnsiTheme="minorHAnsi" w:cstheme="minorHAnsi"/>
          <w:sz w:val="24"/>
          <w:szCs w:val="24"/>
        </w:rPr>
        <w:t>o</w:t>
      </w:r>
      <w:r w:rsidR="0038428D" w:rsidRPr="0038428D">
        <w:rPr>
          <w:rFonts w:asciiTheme="minorHAnsi" w:hAnsiTheme="minorHAnsi" w:cstheme="minorHAnsi"/>
          <w:sz w:val="24"/>
          <w:szCs w:val="24"/>
        </w:rPr>
        <w:t xml:space="preserve">, publicado </w:t>
      </w:r>
      <w:r w:rsidR="0038428D" w:rsidRPr="0038428D">
        <w:rPr>
          <w:rFonts w:asciiTheme="minorHAnsi" w:hAnsiTheme="minorHAnsi" w:cstheme="minorHAnsi"/>
          <w:sz w:val="24"/>
          <w:szCs w:val="24"/>
        </w:rPr>
        <w:t>na revista</w:t>
      </w:r>
      <w:r w:rsidR="0038428D" w:rsidRPr="0038428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38428D" w:rsidRPr="0038428D">
        <w:rPr>
          <w:rFonts w:asciiTheme="minorHAnsi" w:hAnsiTheme="minorHAnsi" w:cstheme="minorHAnsi"/>
          <w:i/>
          <w:sz w:val="24"/>
          <w:szCs w:val="24"/>
        </w:rPr>
        <w:t>The</w:t>
      </w:r>
      <w:proofErr w:type="spellEnd"/>
      <w:r w:rsidR="0038428D" w:rsidRPr="0038428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38428D" w:rsidRPr="0038428D">
        <w:rPr>
          <w:rFonts w:asciiTheme="minorHAnsi" w:hAnsiTheme="minorHAnsi" w:cstheme="minorHAnsi"/>
          <w:i/>
          <w:sz w:val="24"/>
          <w:szCs w:val="24"/>
        </w:rPr>
        <w:t>Astrophysical</w:t>
      </w:r>
      <w:proofErr w:type="spellEnd"/>
      <w:r w:rsidR="0038428D" w:rsidRPr="0038428D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="0038428D" w:rsidRPr="0038428D">
        <w:rPr>
          <w:rFonts w:asciiTheme="minorHAnsi" w:hAnsiTheme="minorHAnsi" w:cstheme="minorHAnsi"/>
          <w:i/>
          <w:sz w:val="24"/>
          <w:szCs w:val="24"/>
        </w:rPr>
        <w:t>Journal</w:t>
      </w:r>
      <w:proofErr w:type="spellEnd"/>
      <w:r w:rsidR="0038428D" w:rsidRPr="00B3457E">
        <w:rPr>
          <w:rFonts w:asciiTheme="minorHAnsi" w:hAnsiTheme="minorHAnsi" w:cstheme="minorHAnsi"/>
          <w:sz w:val="24"/>
          <w:szCs w:val="24"/>
        </w:rPr>
        <w:t>,</w:t>
      </w:r>
      <w:r w:rsidRPr="006110A6">
        <w:rPr>
          <w:rFonts w:asciiTheme="minorHAnsi" w:hAnsiTheme="minorHAnsi" w:cstheme="minorHAnsi"/>
          <w:sz w:val="24"/>
          <w:szCs w:val="24"/>
        </w:rPr>
        <w:t xml:space="preserve"> estabelece novos limites e fornece novas pistas para compreender como a </w:t>
      </w:r>
      <w:proofErr w:type="spellStart"/>
      <w:r w:rsidRPr="006110A6">
        <w:rPr>
          <w:rFonts w:asciiTheme="minorHAnsi" w:hAnsiTheme="minorHAnsi" w:cstheme="minorHAnsi"/>
          <w:sz w:val="24"/>
          <w:szCs w:val="24"/>
        </w:rPr>
        <w:t>irradiância</w:t>
      </w:r>
      <w:proofErr w:type="spellEnd"/>
      <w:r w:rsidRPr="006110A6">
        <w:rPr>
          <w:rFonts w:asciiTheme="minorHAnsi" w:hAnsiTheme="minorHAnsi" w:cstheme="minorHAnsi"/>
          <w:sz w:val="24"/>
          <w:szCs w:val="24"/>
        </w:rPr>
        <w:t xml:space="preserve"> solar irá evoluir com o tempo, e como isso irá afetar o clima na Terra. Há exemplos históricos de como a atividade solar afeta o clima, com é o caso do chamado mínimo de </w:t>
      </w:r>
      <w:proofErr w:type="spellStart"/>
      <w:r w:rsidRPr="006110A6">
        <w:rPr>
          <w:rFonts w:asciiTheme="minorHAnsi" w:hAnsiTheme="minorHAnsi" w:cstheme="minorHAnsi"/>
          <w:sz w:val="24"/>
          <w:szCs w:val="24"/>
        </w:rPr>
        <w:t>Maunder</w:t>
      </w:r>
      <w:proofErr w:type="spellEnd"/>
      <w:r w:rsidRPr="006110A6">
        <w:rPr>
          <w:rFonts w:asciiTheme="minorHAnsi" w:hAnsiTheme="minorHAnsi" w:cstheme="minorHAnsi"/>
          <w:sz w:val="24"/>
          <w:szCs w:val="24"/>
        </w:rPr>
        <w:t>, um período de cerca de 50 anos de atividade solar mais fraca que o normal, que começou no final do séc. XVII, e que coincidiu com uma “</w:t>
      </w:r>
      <w:proofErr w:type="gramStart"/>
      <w:r w:rsidRPr="006110A6">
        <w:rPr>
          <w:rFonts w:asciiTheme="minorHAnsi" w:hAnsiTheme="minorHAnsi" w:cstheme="minorHAnsi"/>
          <w:sz w:val="24"/>
          <w:szCs w:val="24"/>
        </w:rPr>
        <w:t>mini época</w:t>
      </w:r>
      <w:proofErr w:type="gramEnd"/>
      <w:r w:rsidRPr="006110A6">
        <w:rPr>
          <w:rFonts w:asciiTheme="minorHAnsi" w:hAnsiTheme="minorHAnsi" w:cstheme="minorHAnsi"/>
          <w:sz w:val="24"/>
          <w:szCs w:val="24"/>
        </w:rPr>
        <w:t xml:space="preserve"> glaciar”, em especial na Europa.</w:t>
      </w:r>
    </w:p>
    <w:p w14:paraId="14ED5D7E" w14:textId="77777777" w:rsidR="006110A6" w:rsidRPr="006110A6" w:rsidRDefault="006110A6" w:rsidP="006110A6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79BEDE98" w14:textId="77777777" w:rsidR="006110A6" w:rsidRPr="006110A6" w:rsidRDefault="006110A6" w:rsidP="006110A6">
      <w:pPr>
        <w:pStyle w:val="SemEspaamen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02CA67" w14:textId="3F5EA8F1" w:rsidR="006110A6" w:rsidRPr="00B05424" w:rsidRDefault="006110A6" w:rsidP="006110A6">
      <w:pPr>
        <w:pStyle w:val="HTMLpr-formatado"/>
        <w:rPr>
          <w:rFonts w:asciiTheme="minorHAnsi" w:hAnsiTheme="minorHAnsi" w:cstheme="minorHAnsi"/>
          <w:color w:val="000000"/>
          <w:sz w:val="24"/>
          <w:szCs w:val="24"/>
        </w:rPr>
      </w:pPr>
      <w:r w:rsidRPr="00D41F67">
        <w:rPr>
          <w:rFonts w:asciiTheme="minorHAnsi" w:hAnsiTheme="minorHAnsi" w:cstheme="minorHAnsi"/>
          <w:b/>
          <w:sz w:val="24"/>
          <w:szCs w:val="24"/>
        </w:rPr>
        <w:t xml:space="preserve">Legenda da Imagem </w:t>
      </w:r>
      <w:r w:rsidRPr="00D41F67">
        <w:rPr>
          <w:rFonts w:asciiTheme="minorHAnsi" w:hAnsiTheme="minorHAnsi" w:cstheme="minorHAnsi"/>
          <w:b/>
          <w:sz w:val="24"/>
          <w:szCs w:val="24"/>
        </w:rPr>
        <w:t>em anexo</w:t>
      </w:r>
      <w:r w:rsidRPr="006110A6">
        <w:rPr>
          <w:rFonts w:asciiTheme="minorHAnsi" w:hAnsiTheme="minorHAnsi" w:cstheme="minorHAnsi"/>
          <w:sz w:val="24"/>
          <w:szCs w:val="24"/>
        </w:rPr>
        <w:t>:</w:t>
      </w:r>
      <w:r w:rsidRPr="00D41F67">
        <w:rPr>
          <w:rFonts w:asciiTheme="minorHAnsi" w:hAnsiTheme="minorHAnsi" w:cstheme="minorHAnsi"/>
          <w:sz w:val="24"/>
          <w:szCs w:val="24"/>
        </w:rPr>
        <w:t xml:space="preserve"> </w:t>
      </w:r>
      <w:r w:rsidRPr="006110A6">
        <w:rPr>
          <w:rFonts w:asciiTheme="minorHAnsi" w:hAnsiTheme="minorHAnsi" w:cstheme="minorHAnsi"/>
          <w:color w:val="000000"/>
          <w:sz w:val="24"/>
          <w:szCs w:val="24"/>
        </w:rPr>
        <w:t xml:space="preserve">Imagem do </w:t>
      </w:r>
      <w:proofErr w:type="spellStart"/>
      <w:r w:rsidRPr="006110A6">
        <w:rPr>
          <w:rFonts w:asciiTheme="minorHAnsi" w:hAnsiTheme="minorHAnsi" w:cstheme="minorHAnsi"/>
          <w:color w:val="000000"/>
          <w:sz w:val="24"/>
          <w:szCs w:val="24"/>
        </w:rPr>
        <w:t>SOl</w:t>
      </w:r>
      <w:proofErr w:type="spellEnd"/>
      <w:r w:rsidRPr="006110A6">
        <w:rPr>
          <w:rFonts w:asciiTheme="minorHAnsi" w:hAnsiTheme="minorHAnsi" w:cstheme="minorHAnsi"/>
          <w:color w:val="000000"/>
          <w:sz w:val="24"/>
          <w:szCs w:val="24"/>
        </w:rPr>
        <w:t xml:space="preserve"> na banda do visível, colorida artificialmente, obtido pelo Solar Dynamics </w:t>
      </w:r>
      <w:proofErr w:type="spellStart"/>
      <w:r w:rsidRPr="006110A6">
        <w:rPr>
          <w:rFonts w:asciiTheme="minorHAnsi" w:hAnsiTheme="minorHAnsi" w:cstheme="minorHAnsi"/>
          <w:color w:val="000000"/>
          <w:sz w:val="24"/>
          <w:szCs w:val="24"/>
        </w:rPr>
        <w:t>Observatory</w:t>
      </w:r>
      <w:proofErr w:type="spellEnd"/>
      <w:r w:rsidRPr="006110A6">
        <w:rPr>
          <w:rFonts w:asciiTheme="minorHAnsi" w:hAnsiTheme="minorHAnsi" w:cstheme="minorHAnsi"/>
          <w:color w:val="000000"/>
          <w:sz w:val="24"/>
          <w:szCs w:val="24"/>
        </w:rPr>
        <w:t xml:space="preserve"> (SDO) durante o último máximo do seu ciclo de 11 anos. Além das manchas solares pode ver-se, em especial em volta das manchas e na orla do Sol, zonas mais claras denominadas fáculas.</w:t>
      </w:r>
      <w:r w:rsidRPr="006110A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5424">
        <w:rPr>
          <w:rFonts w:asciiTheme="minorHAnsi" w:hAnsiTheme="minorHAnsi" w:cstheme="minorHAnsi"/>
          <w:color w:val="000000"/>
          <w:sz w:val="24"/>
          <w:szCs w:val="24"/>
        </w:rPr>
        <w:t xml:space="preserve">Créditos: Solar Dynamics </w:t>
      </w:r>
      <w:proofErr w:type="spellStart"/>
      <w:r w:rsidRPr="00B05424">
        <w:rPr>
          <w:rFonts w:asciiTheme="minorHAnsi" w:hAnsiTheme="minorHAnsi" w:cstheme="minorHAnsi"/>
          <w:color w:val="000000"/>
          <w:sz w:val="24"/>
          <w:szCs w:val="24"/>
        </w:rPr>
        <w:t>Observatory</w:t>
      </w:r>
      <w:proofErr w:type="spellEnd"/>
      <w:r w:rsidRPr="00B05424">
        <w:rPr>
          <w:rFonts w:asciiTheme="minorHAnsi" w:hAnsiTheme="minorHAnsi" w:cstheme="minorHAnsi"/>
          <w:color w:val="000000"/>
          <w:sz w:val="24"/>
          <w:szCs w:val="24"/>
        </w:rPr>
        <w:t>, NASA</w:t>
      </w:r>
    </w:p>
    <w:p w14:paraId="267940B4" w14:textId="494BAF35" w:rsidR="00194BB8" w:rsidRDefault="00194BB8">
      <w:pPr>
        <w:rPr>
          <w:rFonts w:cstheme="minorHAnsi"/>
          <w:sz w:val="24"/>
          <w:szCs w:val="24"/>
        </w:rPr>
      </w:pPr>
    </w:p>
    <w:p w14:paraId="778D4D9B" w14:textId="79B025EB" w:rsidR="00D41F67" w:rsidRDefault="00D41F67">
      <w:pPr>
        <w:rPr>
          <w:rFonts w:cstheme="minorHAnsi"/>
          <w:sz w:val="24"/>
          <w:szCs w:val="24"/>
        </w:rPr>
      </w:pPr>
      <w:r w:rsidRPr="006110A6">
        <w:rPr>
          <w:rFonts w:cstheme="minorHAnsi"/>
          <w:sz w:val="24"/>
          <w:szCs w:val="24"/>
        </w:rPr>
        <w:t>Instituto de Astrofísica e Ciências do Espaço</w:t>
      </w:r>
    </w:p>
    <w:p w14:paraId="75ABA533" w14:textId="5E52C273" w:rsidR="00D41F67" w:rsidRPr="00194BB8" w:rsidRDefault="00D41F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D41F67" w:rsidRPr="00194B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24B"/>
    <w:multiLevelType w:val="multilevel"/>
    <w:tmpl w:val="7416F9E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5D"/>
    <w:rsid w:val="000D425D"/>
    <w:rsid w:val="00187091"/>
    <w:rsid w:val="00194BB8"/>
    <w:rsid w:val="002C2BE2"/>
    <w:rsid w:val="0038428D"/>
    <w:rsid w:val="006110A6"/>
    <w:rsid w:val="00B3457E"/>
    <w:rsid w:val="00C26C8F"/>
    <w:rsid w:val="00D4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CA07"/>
  <w15:chartTrackingRefBased/>
  <w15:docId w15:val="{AF13556E-7DA9-48E3-80AE-53E834B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194BB8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unhideWhenUsed/>
    <w:rsid w:val="006110A6"/>
    <w:rPr>
      <w:color w:val="0000FF"/>
      <w:u w:val="single"/>
    </w:rPr>
  </w:style>
  <w:style w:type="paragraph" w:styleId="SemEspaamento">
    <w:name w:val="No Spacing"/>
    <w:qFormat/>
    <w:rsid w:val="006110A6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6110A6"/>
    <w:rPr>
      <w:color w:val="0563C1" w:themeColor="hyperlink"/>
      <w:u w:val="single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611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6110A6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3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s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sa.gov/mission_pages/kepler/main/index.html" TargetMode="External"/><Relationship Id="rId11" Type="http://schemas.openxmlformats.org/officeDocument/2006/relationships/hyperlink" Target="http://www.spacescience.org/" TargetMode="External"/><Relationship Id="rId5" Type="http://schemas.openxmlformats.org/officeDocument/2006/relationships/hyperlink" Target="http://www.iastro.pt/" TargetMode="External"/><Relationship Id="rId10" Type="http://schemas.openxmlformats.org/officeDocument/2006/relationships/hyperlink" Target="http://www.iastro.pt/ia/staffDetails.html?ID=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.u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828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2018-01-08T14:40:00Z</dcterms:created>
  <dcterms:modified xsi:type="dcterms:W3CDTF">2018-01-08T14:49:00Z</dcterms:modified>
</cp:coreProperties>
</file>