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7494B" w14:textId="6E5C6D31" w:rsidR="002C2BE2" w:rsidRPr="001F5651" w:rsidRDefault="00ED3789">
      <w:pPr>
        <w:rPr>
          <w:rFonts w:cstheme="minorHAnsi"/>
          <w:b/>
          <w:bCs/>
          <w:sz w:val="28"/>
          <w:szCs w:val="28"/>
          <w:lang w:val="pt-PT"/>
        </w:rPr>
      </w:pPr>
      <w:r w:rsidRPr="001F5651">
        <w:rPr>
          <w:rFonts w:cstheme="minorHAnsi"/>
          <w:b/>
          <w:bCs/>
          <w:sz w:val="28"/>
          <w:szCs w:val="28"/>
          <w:lang w:val="pt-PT"/>
        </w:rPr>
        <w:t>Habitats em declínio na Península Ibérica</w:t>
      </w:r>
    </w:p>
    <w:p w14:paraId="6AD5ED8E" w14:textId="2C074B10" w:rsidR="00ED3789" w:rsidRPr="001F5651" w:rsidRDefault="00ED3789">
      <w:pPr>
        <w:rPr>
          <w:rFonts w:cstheme="minorHAnsi"/>
          <w:sz w:val="24"/>
          <w:szCs w:val="24"/>
          <w:lang w:val="pt-PT"/>
        </w:rPr>
      </w:pPr>
    </w:p>
    <w:p w14:paraId="2ED75CA3" w14:textId="278BD755" w:rsidR="00ED3789" w:rsidRPr="001F5651" w:rsidRDefault="00ED3789">
      <w:pPr>
        <w:rPr>
          <w:rStyle w:val="Forte"/>
          <w:rFonts w:cstheme="minorHAnsi"/>
          <w:b w:val="0"/>
          <w:bCs w:val="0"/>
          <w:color w:val="202020"/>
          <w:sz w:val="24"/>
          <w:szCs w:val="24"/>
          <w:shd w:val="clear" w:color="auto" w:fill="FFFFFF"/>
          <w:lang w:val="pt-PT"/>
        </w:rPr>
      </w:pPr>
      <w:r w:rsidRPr="001F5651">
        <w:rPr>
          <w:rStyle w:val="Forte"/>
          <w:rFonts w:cstheme="minorHAnsi"/>
          <w:b w:val="0"/>
          <w:bCs w:val="0"/>
          <w:color w:val="202020"/>
          <w:sz w:val="24"/>
          <w:szCs w:val="24"/>
          <w:shd w:val="clear" w:color="auto" w:fill="FFFFFF"/>
          <w:lang w:val="pt-PT"/>
        </w:rPr>
        <w:t>Um novo estudo revela que as Zonas de Proteção Especial da Rede Natura 2000 em áreas agrícolas da Península Ibérica perderam mais de 35 mil hectares devido à substituição de habitat crítico por culturas como o olival intensivo ou a vinha.</w:t>
      </w:r>
      <w:r w:rsidRPr="001F5651">
        <w:rPr>
          <w:rStyle w:val="Forte"/>
          <w:rFonts w:cstheme="minorHAnsi"/>
          <w:b w:val="0"/>
          <w:bCs w:val="0"/>
          <w:color w:val="202020"/>
          <w:sz w:val="24"/>
          <w:szCs w:val="24"/>
          <w:shd w:val="clear" w:color="auto" w:fill="FFFFFF"/>
          <w:lang w:val="pt-PT"/>
        </w:rPr>
        <w:t xml:space="preserve"> </w:t>
      </w:r>
      <w:r w:rsidRPr="001F5651">
        <w:rPr>
          <w:rStyle w:val="Forte"/>
          <w:rFonts w:cstheme="minorHAnsi"/>
          <w:b w:val="0"/>
          <w:bCs w:val="0"/>
          <w:color w:val="202020"/>
          <w:sz w:val="24"/>
          <w:szCs w:val="24"/>
          <w:shd w:val="clear" w:color="auto" w:fill="FFFFFF"/>
          <w:lang w:val="pt-PT"/>
        </w:rPr>
        <w:t>Os habitats em declínio são essenciais para diversas espécies de aves selvagens, colocando assim em risco a sua conservação.</w:t>
      </w:r>
    </w:p>
    <w:p w14:paraId="2988527C" w14:textId="6DD13B22" w:rsidR="00ED3789" w:rsidRPr="001F5651" w:rsidRDefault="00ED3789">
      <w:pPr>
        <w:rPr>
          <w:rStyle w:val="Forte"/>
          <w:rFonts w:cstheme="minorHAnsi"/>
          <w:color w:val="202020"/>
          <w:sz w:val="24"/>
          <w:szCs w:val="24"/>
          <w:shd w:val="clear" w:color="auto" w:fill="FFFFFF"/>
          <w:lang w:val="pt-PT"/>
        </w:rPr>
      </w:pPr>
    </w:p>
    <w:p w14:paraId="49ED0476" w14:textId="77777777" w:rsidR="00C128CA" w:rsidRPr="001F5651" w:rsidRDefault="00ED3789" w:rsidP="001F5651">
      <w:pPr>
        <w:spacing w:after="0" w:line="360" w:lineRule="auto"/>
        <w:rPr>
          <w:rFonts w:cstheme="minorHAnsi"/>
          <w:color w:val="202020"/>
          <w:sz w:val="24"/>
          <w:szCs w:val="24"/>
          <w:shd w:val="clear" w:color="auto" w:fill="FFFFFF"/>
          <w:lang w:val="pt-PT"/>
        </w:rPr>
      </w:pPr>
      <w:r w:rsidRPr="001F5651">
        <w:rPr>
          <w:rFonts w:cstheme="minorHAnsi"/>
          <w:color w:val="202020"/>
          <w:sz w:val="24"/>
          <w:szCs w:val="24"/>
          <w:shd w:val="clear" w:color="auto" w:fill="FFFFFF"/>
          <w:lang w:val="pt-PT"/>
        </w:rPr>
        <w:t>Na Europa, muitas espécies habitam em paisagens transformadas pelo Homem e coexistem com humanos há milénios. As estepes agrícolas são um exemplo de ecossistema em que a atividade humana – em particular, a agricultura tradicional de baixa intensidade – coexiste com a conservação da natureza, abrigando populações importantes de espécies ameaçadas como a abetarda (</w:t>
      </w:r>
      <w:proofErr w:type="spellStart"/>
      <w:r w:rsidRPr="001F5651">
        <w:rPr>
          <w:rStyle w:val="nfase"/>
          <w:rFonts w:cstheme="minorHAnsi"/>
          <w:color w:val="202020"/>
          <w:sz w:val="24"/>
          <w:szCs w:val="24"/>
          <w:shd w:val="clear" w:color="auto" w:fill="FFFFFF"/>
          <w:lang w:val="pt-PT"/>
        </w:rPr>
        <w:t>Otis</w:t>
      </w:r>
      <w:proofErr w:type="spellEnd"/>
      <w:r w:rsidRPr="001F5651">
        <w:rPr>
          <w:rStyle w:val="nfase"/>
          <w:rFonts w:cstheme="minorHAnsi"/>
          <w:color w:val="202020"/>
          <w:sz w:val="24"/>
          <w:szCs w:val="24"/>
          <w:shd w:val="clear" w:color="auto" w:fill="FFFFFF"/>
          <w:lang w:val="pt-PT"/>
        </w:rPr>
        <w:t xml:space="preserve"> tarda</w:t>
      </w:r>
      <w:r w:rsidRPr="001F5651">
        <w:rPr>
          <w:rFonts w:cstheme="minorHAnsi"/>
          <w:color w:val="202020"/>
          <w:sz w:val="24"/>
          <w:szCs w:val="24"/>
          <w:shd w:val="clear" w:color="auto" w:fill="FFFFFF"/>
          <w:lang w:val="pt-PT"/>
        </w:rPr>
        <w:t xml:space="preserve">), </w:t>
      </w:r>
      <w:proofErr w:type="gramStart"/>
      <w:r w:rsidRPr="001F5651">
        <w:rPr>
          <w:rFonts w:cstheme="minorHAnsi"/>
          <w:color w:val="202020"/>
          <w:sz w:val="24"/>
          <w:szCs w:val="24"/>
          <w:shd w:val="clear" w:color="auto" w:fill="FFFFFF"/>
          <w:lang w:val="pt-PT"/>
        </w:rPr>
        <w:t>o sisão</w:t>
      </w:r>
      <w:proofErr w:type="gramEnd"/>
      <w:r w:rsidRPr="001F5651">
        <w:rPr>
          <w:rFonts w:cstheme="minorHAnsi"/>
          <w:color w:val="202020"/>
          <w:sz w:val="24"/>
          <w:szCs w:val="24"/>
          <w:shd w:val="clear" w:color="auto" w:fill="FFFFFF"/>
          <w:lang w:val="pt-PT"/>
        </w:rPr>
        <w:t xml:space="preserve"> (</w:t>
      </w:r>
      <w:proofErr w:type="spellStart"/>
      <w:r w:rsidRPr="001F5651">
        <w:rPr>
          <w:rStyle w:val="nfase"/>
          <w:rFonts w:cstheme="minorHAnsi"/>
          <w:color w:val="202020"/>
          <w:sz w:val="24"/>
          <w:szCs w:val="24"/>
          <w:shd w:val="clear" w:color="auto" w:fill="FFFFFF"/>
          <w:lang w:val="pt-PT"/>
        </w:rPr>
        <w:t>Tetrax</w:t>
      </w:r>
      <w:proofErr w:type="spellEnd"/>
      <w:r w:rsidRPr="001F5651">
        <w:rPr>
          <w:rStyle w:val="nfase"/>
          <w:rFonts w:cstheme="minorHAnsi"/>
          <w:color w:val="202020"/>
          <w:sz w:val="24"/>
          <w:szCs w:val="24"/>
          <w:shd w:val="clear" w:color="auto" w:fill="FFFFFF"/>
          <w:lang w:val="pt-PT"/>
        </w:rPr>
        <w:t xml:space="preserve"> </w:t>
      </w:r>
      <w:proofErr w:type="spellStart"/>
      <w:r w:rsidRPr="001F5651">
        <w:rPr>
          <w:rStyle w:val="nfase"/>
          <w:rFonts w:cstheme="minorHAnsi"/>
          <w:color w:val="202020"/>
          <w:sz w:val="24"/>
          <w:szCs w:val="24"/>
          <w:shd w:val="clear" w:color="auto" w:fill="FFFFFF"/>
          <w:lang w:val="pt-PT"/>
        </w:rPr>
        <w:t>tetrax</w:t>
      </w:r>
      <w:proofErr w:type="spellEnd"/>
      <w:r w:rsidRPr="001F5651">
        <w:rPr>
          <w:rFonts w:cstheme="minorHAnsi"/>
          <w:color w:val="202020"/>
          <w:sz w:val="24"/>
          <w:szCs w:val="24"/>
          <w:shd w:val="clear" w:color="auto" w:fill="FFFFFF"/>
          <w:lang w:val="pt-PT"/>
        </w:rPr>
        <w:t>) ou o francelho (</w:t>
      </w:r>
      <w:r w:rsidRPr="001F5651">
        <w:rPr>
          <w:rStyle w:val="nfase"/>
          <w:rFonts w:cstheme="minorHAnsi"/>
          <w:color w:val="202020"/>
          <w:sz w:val="24"/>
          <w:szCs w:val="24"/>
          <w:shd w:val="clear" w:color="auto" w:fill="FFFFFF"/>
          <w:lang w:val="pt-PT"/>
        </w:rPr>
        <w:t xml:space="preserve">Falco </w:t>
      </w:r>
      <w:proofErr w:type="spellStart"/>
      <w:r w:rsidRPr="001F5651">
        <w:rPr>
          <w:rStyle w:val="nfase"/>
          <w:rFonts w:cstheme="minorHAnsi"/>
          <w:color w:val="202020"/>
          <w:sz w:val="24"/>
          <w:szCs w:val="24"/>
          <w:shd w:val="clear" w:color="auto" w:fill="FFFFFF"/>
          <w:lang w:val="pt-PT"/>
        </w:rPr>
        <w:t>naumanni</w:t>
      </w:r>
      <w:proofErr w:type="spellEnd"/>
      <w:r w:rsidRPr="001F5651">
        <w:rPr>
          <w:rFonts w:cstheme="minorHAnsi"/>
          <w:color w:val="202020"/>
          <w:sz w:val="24"/>
          <w:szCs w:val="24"/>
          <w:shd w:val="clear" w:color="auto" w:fill="FFFFFF"/>
          <w:lang w:val="pt-PT"/>
        </w:rPr>
        <w:t>). Vários desses locais foram designados como Zonas de Proteção Especial (ZPE) para conservação de aves, passando assim a fazer parte da Rede Natura 2000, a maior rede internacional de áreas protegidas do mundo.</w:t>
      </w:r>
    </w:p>
    <w:p w14:paraId="19902C0F" w14:textId="77777777" w:rsidR="00C128CA" w:rsidRPr="001F5651" w:rsidRDefault="00ED3789" w:rsidP="001F5651">
      <w:pPr>
        <w:spacing w:after="0" w:line="360" w:lineRule="auto"/>
        <w:rPr>
          <w:rFonts w:cstheme="minorHAnsi"/>
          <w:color w:val="202020"/>
          <w:sz w:val="24"/>
          <w:szCs w:val="24"/>
          <w:shd w:val="clear" w:color="auto" w:fill="FFFFFF"/>
          <w:lang w:val="pt-PT"/>
        </w:rPr>
      </w:pPr>
      <w:r w:rsidRPr="001F5651">
        <w:rPr>
          <w:rFonts w:cstheme="minorHAnsi"/>
          <w:color w:val="202020"/>
          <w:sz w:val="24"/>
          <w:szCs w:val="24"/>
          <w:shd w:val="clear" w:color="auto" w:fill="FFFFFF"/>
          <w:lang w:val="pt-PT"/>
        </w:rPr>
        <w:t xml:space="preserve">Uma equipa de investigadores da Universidade de Lisboa, da Universidade do Porto e da Universidade de </w:t>
      </w:r>
      <w:proofErr w:type="spellStart"/>
      <w:r w:rsidRPr="001F5651">
        <w:rPr>
          <w:rFonts w:cstheme="minorHAnsi"/>
          <w:color w:val="202020"/>
          <w:sz w:val="24"/>
          <w:szCs w:val="24"/>
          <w:shd w:val="clear" w:color="auto" w:fill="FFFFFF"/>
          <w:lang w:val="pt-PT"/>
        </w:rPr>
        <w:t>East</w:t>
      </w:r>
      <w:proofErr w:type="spellEnd"/>
      <w:r w:rsidRPr="001F5651">
        <w:rPr>
          <w:rFonts w:cstheme="minorHAnsi"/>
          <w:color w:val="202020"/>
          <w:sz w:val="24"/>
          <w:szCs w:val="24"/>
          <w:shd w:val="clear" w:color="auto" w:fill="FFFFFF"/>
          <w:lang w:val="pt-PT"/>
        </w:rPr>
        <w:t xml:space="preserve"> Anglia (Reino Unido) avaliou a eficácia da Rede Natura 2000 em conservar as estepes agrícolas por um período de dez anos, comparando imagens de satélite de 2004 e 2015 em 21 Zonas de Proteção Especial – quatro em Portugal e 17 em Espanha – e em áreas adjacentes.</w:t>
      </w:r>
    </w:p>
    <w:p w14:paraId="6F8D481A" w14:textId="77777777" w:rsidR="00C128CA" w:rsidRPr="001F5651" w:rsidRDefault="00ED3789" w:rsidP="001F5651">
      <w:pPr>
        <w:spacing w:after="0" w:line="360" w:lineRule="auto"/>
        <w:rPr>
          <w:rFonts w:cstheme="minorHAnsi"/>
          <w:color w:val="202020"/>
          <w:sz w:val="24"/>
          <w:szCs w:val="24"/>
          <w:shd w:val="clear" w:color="auto" w:fill="FFFFFF"/>
          <w:lang w:val="pt-PT"/>
        </w:rPr>
      </w:pPr>
      <w:r w:rsidRPr="001F5651">
        <w:rPr>
          <w:rFonts w:cstheme="minorHAnsi"/>
          <w:color w:val="202020"/>
          <w:sz w:val="24"/>
          <w:szCs w:val="24"/>
          <w:shd w:val="clear" w:color="auto" w:fill="FFFFFF"/>
          <w:lang w:val="pt-PT"/>
        </w:rPr>
        <w:t>Os resultados, agora publicados na revista</w:t>
      </w:r>
      <w:r w:rsidR="00C128CA" w:rsidRPr="001F5651">
        <w:rPr>
          <w:rFonts w:cstheme="minorHAnsi"/>
          <w:color w:val="202020"/>
          <w:sz w:val="24"/>
          <w:szCs w:val="24"/>
          <w:shd w:val="clear" w:color="auto" w:fill="FFFFFF"/>
          <w:lang w:val="pt-PT"/>
        </w:rPr>
        <w:t xml:space="preserve"> </w:t>
      </w:r>
      <w:proofErr w:type="spellStart"/>
      <w:r w:rsidRPr="001F5651">
        <w:rPr>
          <w:rStyle w:val="nfase"/>
          <w:rFonts w:cstheme="minorHAnsi"/>
          <w:color w:val="202020"/>
          <w:sz w:val="24"/>
          <w:szCs w:val="24"/>
          <w:shd w:val="clear" w:color="auto" w:fill="FFFFFF"/>
          <w:lang w:val="pt-PT"/>
        </w:rPr>
        <w:t>Biological</w:t>
      </w:r>
      <w:proofErr w:type="spellEnd"/>
      <w:r w:rsidRPr="001F5651">
        <w:rPr>
          <w:rStyle w:val="nfase"/>
          <w:rFonts w:cstheme="minorHAnsi"/>
          <w:color w:val="202020"/>
          <w:sz w:val="24"/>
          <w:szCs w:val="24"/>
          <w:shd w:val="clear" w:color="auto" w:fill="FFFFFF"/>
          <w:lang w:val="pt-PT"/>
        </w:rPr>
        <w:t xml:space="preserve"> </w:t>
      </w:r>
      <w:proofErr w:type="spellStart"/>
      <w:r w:rsidRPr="001F5651">
        <w:rPr>
          <w:rStyle w:val="nfase"/>
          <w:rFonts w:cstheme="minorHAnsi"/>
          <w:color w:val="202020"/>
          <w:sz w:val="24"/>
          <w:szCs w:val="24"/>
          <w:shd w:val="clear" w:color="auto" w:fill="FFFFFF"/>
          <w:lang w:val="pt-PT"/>
        </w:rPr>
        <w:t>Conservation</w:t>
      </w:r>
      <w:proofErr w:type="spellEnd"/>
      <w:r w:rsidR="00C128CA" w:rsidRPr="001F5651">
        <w:rPr>
          <w:rStyle w:val="nfase"/>
          <w:rFonts w:cstheme="minorHAnsi"/>
          <w:color w:val="202020"/>
          <w:sz w:val="24"/>
          <w:szCs w:val="24"/>
          <w:shd w:val="clear" w:color="auto" w:fill="FFFFFF"/>
          <w:lang w:val="pt-PT"/>
        </w:rPr>
        <w:t xml:space="preserve"> </w:t>
      </w:r>
      <w:r w:rsidR="00C128CA" w:rsidRPr="001F5651">
        <w:rPr>
          <w:rStyle w:val="nfase"/>
          <w:rFonts w:cstheme="minorHAnsi"/>
          <w:i w:val="0"/>
          <w:iCs w:val="0"/>
          <w:color w:val="202020"/>
          <w:sz w:val="24"/>
          <w:szCs w:val="24"/>
          <w:shd w:val="clear" w:color="auto" w:fill="FFFFFF"/>
          <w:lang w:val="pt-PT"/>
        </w:rPr>
        <w:t>(</w:t>
      </w:r>
      <w:hyperlink r:id="rId4" w:history="1">
        <w:r w:rsidR="00C128CA" w:rsidRPr="001F5651">
          <w:rPr>
            <w:rStyle w:val="Hiperligao"/>
            <w:rFonts w:cstheme="minorHAnsi"/>
            <w:sz w:val="24"/>
            <w:szCs w:val="24"/>
            <w:shd w:val="clear" w:color="auto" w:fill="FFFFFF"/>
            <w:lang w:val="pt-PT"/>
          </w:rPr>
          <w:t>https://doi.org/10.1016/j.biocon.2020.108681</w:t>
        </w:r>
      </w:hyperlink>
      <w:r w:rsidR="00C128CA" w:rsidRPr="001F5651">
        <w:rPr>
          <w:rFonts w:cstheme="minorHAnsi"/>
          <w:color w:val="202020"/>
          <w:sz w:val="24"/>
          <w:szCs w:val="24"/>
          <w:u w:val="single"/>
          <w:shd w:val="clear" w:color="auto" w:fill="FFFFFF"/>
          <w:lang w:val="pt-PT"/>
        </w:rPr>
        <w:t>)</w:t>
      </w:r>
      <w:r w:rsidRPr="001F5651">
        <w:rPr>
          <w:rFonts w:cstheme="minorHAnsi"/>
          <w:color w:val="202020"/>
          <w:sz w:val="24"/>
          <w:szCs w:val="24"/>
          <w:shd w:val="clear" w:color="auto" w:fill="FFFFFF"/>
          <w:lang w:val="pt-PT"/>
        </w:rPr>
        <w:t xml:space="preserve">, sugerem que as </w:t>
      </w:r>
      <w:proofErr w:type="spellStart"/>
      <w:r w:rsidRPr="001F5651">
        <w:rPr>
          <w:rFonts w:cstheme="minorHAnsi"/>
          <w:color w:val="202020"/>
          <w:sz w:val="24"/>
          <w:szCs w:val="24"/>
          <w:shd w:val="clear" w:color="auto" w:fill="FFFFFF"/>
          <w:lang w:val="pt-PT"/>
        </w:rPr>
        <w:t>ZPEs</w:t>
      </w:r>
      <w:proofErr w:type="spellEnd"/>
      <w:r w:rsidRPr="001F5651">
        <w:rPr>
          <w:rFonts w:cstheme="minorHAnsi"/>
          <w:color w:val="202020"/>
          <w:sz w:val="24"/>
          <w:szCs w:val="24"/>
          <w:shd w:val="clear" w:color="auto" w:fill="FFFFFF"/>
          <w:lang w:val="pt-PT"/>
        </w:rPr>
        <w:t xml:space="preserve"> estudadas perderam um total de cerca de 35 mil hectares de estepes agrícolas ao longo dos últimos dez anos, por conversão da utilização destes terrenos, normalmente utilizados para cultivo de cereais de sequeiro e pastagens extensivas, para outras culturas agrícolas de maior intensidade, como olivais ou vinhas e culturas de irrigação intensiva. Estas novas culturas, para além de apresentarem uma estrutura de vegetação totalmente diferente da utilizada por aves </w:t>
      </w:r>
      <w:proofErr w:type="spellStart"/>
      <w:r w:rsidRPr="001F5651">
        <w:rPr>
          <w:rFonts w:cstheme="minorHAnsi"/>
          <w:color w:val="202020"/>
          <w:sz w:val="24"/>
          <w:szCs w:val="24"/>
          <w:shd w:val="clear" w:color="auto" w:fill="FFFFFF"/>
          <w:lang w:val="pt-PT"/>
        </w:rPr>
        <w:t>estepárias</w:t>
      </w:r>
      <w:proofErr w:type="spellEnd"/>
      <w:r w:rsidRPr="001F5651">
        <w:rPr>
          <w:rFonts w:cstheme="minorHAnsi"/>
          <w:color w:val="202020"/>
          <w:sz w:val="24"/>
          <w:szCs w:val="24"/>
          <w:shd w:val="clear" w:color="auto" w:fill="FFFFFF"/>
          <w:lang w:val="pt-PT"/>
        </w:rPr>
        <w:t>, estão normalmente associadas à utilização de inseticidas e herbicidas, prejudiciais para muitas das plantas e insetos dos quais estas aves se alimentam. Os mais de 35 mil hectares de estepes perdidos poderiam albergar mais de 500 abetardas, de acordo com os investigadores.</w:t>
      </w:r>
    </w:p>
    <w:p w14:paraId="45B25D3D" w14:textId="77777777" w:rsidR="00C128CA" w:rsidRPr="001F5651" w:rsidRDefault="00ED3789" w:rsidP="001F5651">
      <w:pPr>
        <w:spacing w:after="0" w:line="360" w:lineRule="auto"/>
        <w:rPr>
          <w:rFonts w:cstheme="minorHAnsi"/>
          <w:color w:val="202020"/>
          <w:sz w:val="24"/>
          <w:szCs w:val="24"/>
          <w:shd w:val="clear" w:color="auto" w:fill="FFFFFF"/>
          <w:lang w:val="pt-PT"/>
        </w:rPr>
      </w:pPr>
      <w:r w:rsidRPr="001F5651">
        <w:rPr>
          <w:rFonts w:cstheme="minorHAnsi"/>
          <w:color w:val="202020"/>
          <w:sz w:val="24"/>
          <w:szCs w:val="24"/>
          <w:shd w:val="clear" w:color="auto" w:fill="FFFFFF"/>
          <w:lang w:val="pt-PT"/>
        </w:rPr>
        <w:lastRenderedPageBreak/>
        <w:t xml:space="preserve">“A Rede Natura 2000 é uma componente fundamental da estratégia de conservação da biodiversidade da Europa e é essencial para a conservação de diversas espécies e habitats ameaçados. De facto, os nossos resultados indicam que a perda de estepe agrícola é 45% menor dentro da Rede Natura 2000 que em áreas </w:t>
      </w:r>
      <w:proofErr w:type="spellStart"/>
      <w:r w:rsidRPr="001F5651">
        <w:rPr>
          <w:rFonts w:cstheme="minorHAnsi"/>
          <w:color w:val="202020"/>
          <w:sz w:val="24"/>
          <w:szCs w:val="24"/>
          <w:shd w:val="clear" w:color="auto" w:fill="FFFFFF"/>
          <w:lang w:val="pt-PT"/>
        </w:rPr>
        <w:t>estepárias</w:t>
      </w:r>
      <w:proofErr w:type="spellEnd"/>
      <w:r w:rsidRPr="001F5651">
        <w:rPr>
          <w:rFonts w:cstheme="minorHAnsi"/>
          <w:color w:val="202020"/>
          <w:sz w:val="24"/>
          <w:szCs w:val="24"/>
          <w:shd w:val="clear" w:color="auto" w:fill="FFFFFF"/>
          <w:lang w:val="pt-PT"/>
        </w:rPr>
        <w:t xml:space="preserve"> não-protegidas adjacentes. No entanto, é importante perceber por que ocorreram tão importantes perdas de habitat mesmo dentro das áreas protegidas. Estas perdas vão comprometer os resultados positivos dos anteriores esforços de conservação e, tendo em conta a atual taxa de conversão de habitat, as estepes agrícolas podem ser reduzidas a 50% da sua área atual durante este século”, explica João Gameiro, primeiro autor do estudo, investigador de doutoramento no</w:t>
      </w:r>
      <w:r w:rsidR="00C128CA" w:rsidRPr="001F5651">
        <w:rPr>
          <w:rFonts w:cstheme="minorHAnsi"/>
          <w:color w:val="202020"/>
          <w:sz w:val="24"/>
          <w:szCs w:val="24"/>
          <w:shd w:val="clear" w:color="auto" w:fill="FFFFFF"/>
          <w:lang w:val="pt-PT"/>
        </w:rPr>
        <w:t xml:space="preserve"> </w:t>
      </w:r>
      <w:hyperlink r:id="rId5" w:tgtFrame="_blank" w:history="1">
        <w:r w:rsidRPr="001F5651">
          <w:rPr>
            <w:rStyle w:val="Hiperligao"/>
            <w:rFonts w:cstheme="minorHAnsi"/>
            <w:color w:val="007C89"/>
            <w:sz w:val="24"/>
            <w:szCs w:val="24"/>
            <w:shd w:val="clear" w:color="auto" w:fill="FFFFFF"/>
            <w:lang w:val="pt-PT"/>
          </w:rPr>
          <w:t>Centro de Ecologia, Evolução e Alterações Ambientais – cE3c</w:t>
        </w:r>
      </w:hyperlink>
      <w:r w:rsidRPr="001F5651">
        <w:rPr>
          <w:rFonts w:cstheme="minorHAnsi"/>
          <w:color w:val="202020"/>
          <w:sz w:val="24"/>
          <w:szCs w:val="24"/>
          <w:shd w:val="clear" w:color="auto" w:fill="FFFFFF"/>
          <w:lang w:val="pt-PT"/>
        </w:rPr>
        <w:t>, na</w:t>
      </w:r>
      <w:r w:rsidR="00C128CA" w:rsidRPr="001F5651">
        <w:rPr>
          <w:rFonts w:cstheme="minorHAnsi"/>
          <w:color w:val="202020"/>
          <w:sz w:val="24"/>
          <w:szCs w:val="24"/>
          <w:shd w:val="clear" w:color="auto" w:fill="FFFFFF"/>
          <w:lang w:val="pt-PT"/>
        </w:rPr>
        <w:t xml:space="preserve"> </w:t>
      </w:r>
      <w:hyperlink r:id="rId6" w:tgtFrame="_blank" w:history="1">
        <w:r w:rsidRPr="001F5651">
          <w:rPr>
            <w:rStyle w:val="Hiperligao"/>
            <w:rFonts w:cstheme="minorHAnsi"/>
            <w:color w:val="007C89"/>
            <w:sz w:val="24"/>
            <w:szCs w:val="24"/>
            <w:shd w:val="clear" w:color="auto" w:fill="FFFFFF"/>
            <w:lang w:val="pt-PT"/>
          </w:rPr>
          <w:t>Faculdade de Ciências da Universidade de Lisboa</w:t>
        </w:r>
      </w:hyperlink>
      <w:r w:rsidR="00C128CA" w:rsidRPr="001F5651">
        <w:rPr>
          <w:rFonts w:cstheme="minorHAnsi"/>
          <w:color w:val="202020"/>
          <w:sz w:val="24"/>
          <w:szCs w:val="24"/>
          <w:shd w:val="clear" w:color="auto" w:fill="FFFFFF"/>
          <w:lang w:val="pt-PT"/>
        </w:rPr>
        <w:t xml:space="preserve"> </w:t>
      </w:r>
      <w:r w:rsidRPr="001F5651">
        <w:rPr>
          <w:rFonts w:cstheme="minorHAnsi"/>
          <w:color w:val="202020"/>
          <w:sz w:val="24"/>
          <w:szCs w:val="24"/>
          <w:shd w:val="clear" w:color="auto" w:fill="FFFFFF"/>
          <w:lang w:val="pt-PT"/>
        </w:rPr>
        <w:t xml:space="preserve">(Ciências </w:t>
      </w:r>
      <w:proofErr w:type="spellStart"/>
      <w:r w:rsidRPr="001F5651">
        <w:rPr>
          <w:rFonts w:cstheme="minorHAnsi"/>
          <w:color w:val="202020"/>
          <w:sz w:val="24"/>
          <w:szCs w:val="24"/>
          <w:shd w:val="clear" w:color="auto" w:fill="FFFFFF"/>
          <w:lang w:val="pt-PT"/>
        </w:rPr>
        <w:t>ULisboa</w:t>
      </w:r>
      <w:proofErr w:type="spellEnd"/>
      <w:r w:rsidRPr="001F5651">
        <w:rPr>
          <w:rFonts w:cstheme="minorHAnsi"/>
          <w:color w:val="202020"/>
          <w:sz w:val="24"/>
          <w:szCs w:val="24"/>
          <w:shd w:val="clear" w:color="auto" w:fill="FFFFFF"/>
          <w:lang w:val="pt-PT"/>
        </w:rPr>
        <w:t xml:space="preserve">). “Além disso, grandes conversões fora das áreas protegidas poderão tornar estas áreas protegidas em ilhas </w:t>
      </w:r>
      <w:proofErr w:type="spellStart"/>
      <w:r w:rsidRPr="001F5651">
        <w:rPr>
          <w:rFonts w:cstheme="minorHAnsi"/>
          <w:color w:val="202020"/>
          <w:sz w:val="24"/>
          <w:szCs w:val="24"/>
          <w:shd w:val="clear" w:color="auto" w:fill="FFFFFF"/>
          <w:lang w:val="pt-PT"/>
        </w:rPr>
        <w:t>estepárias</w:t>
      </w:r>
      <w:proofErr w:type="spellEnd"/>
      <w:r w:rsidRPr="001F5651">
        <w:rPr>
          <w:rFonts w:cstheme="minorHAnsi"/>
          <w:color w:val="202020"/>
          <w:sz w:val="24"/>
          <w:szCs w:val="24"/>
          <w:shd w:val="clear" w:color="auto" w:fill="FFFFFF"/>
          <w:lang w:val="pt-PT"/>
        </w:rPr>
        <w:t xml:space="preserve">. Isto vai reduzir a conectividade entre elas, afetando a viabilidade e capacidade de dispersão das populações, especialmente relevante face às alterações </w:t>
      </w:r>
      <w:proofErr w:type="gramStart"/>
      <w:r w:rsidRPr="001F5651">
        <w:rPr>
          <w:rFonts w:cstheme="minorHAnsi"/>
          <w:color w:val="202020"/>
          <w:sz w:val="24"/>
          <w:szCs w:val="24"/>
          <w:shd w:val="clear" w:color="auto" w:fill="FFFFFF"/>
          <w:lang w:val="pt-PT"/>
        </w:rPr>
        <w:t>climáticas“</w:t>
      </w:r>
      <w:proofErr w:type="gramEnd"/>
      <w:r w:rsidRPr="001F5651">
        <w:rPr>
          <w:rFonts w:cstheme="minorHAnsi"/>
          <w:color w:val="202020"/>
          <w:sz w:val="24"/>
          <w:szCs w:val="24"/>
          <w:shd w:val="clear" w:color="auto" w:fill="FFFFFF"/>
          <w:lang w:val="pt-PT"/>
        </w:rPr>
        <w:t>, acrescenta João Gameiro.</w:t>
      </w:r>
    </w:p>
    <w:p w14:paraId="1167A097" w14:textId="77777777" w:rsidR="00C128CA" w:rsidRPr="001F5651" w:rsidRDefault="00ED3789" w:rsidP="001F5651">
      <w:pPr>
        <w:spacing w:after="0" w:line="360" w:lineRule="auto"/>
        <w:rPr>
          <w:rFonts w:cstheme="minorHAnsi"/>
          <w:color w:val="202020"/>
          <w:sz w:val="24"/>
          <w:szCs w:val="24"/>
          <w:shd w:val="clear" w:color="auto" w:fill="FFFFFF"/>
          <w:lang w:val="pt-PT"/>
        </w:rPr>
      </w:pPr>
      <w:r w:rsidRPr="001F5651">
        <w:rPr>
          <w:rFonts w:cstheme="minorHAnsi"/>
          <w:color w:val="202020"/>
          <w:sz w:val="24"/>
          <w:szCs w:val="24"/>
          <w:shd w:val="clear" w:color="auto" w:fill="FFFFFF"/>
          <w:lang w:val="pt-PT"/>
        </w:rPr>
        <w:t>Os investigadores sugerem que a fraca aplicação da legislação associada às áreas protegidas, os incentivos insuficientes para garantir a cooperação dos agricultores, e medidas de conservação de habitat pensadas apenas a curto-prazo, podem afetar o sucesso da Rede Natura 2000 na proteção de outros habitats importantes em toda a Europa.</w:t>
      </w:r>
    </w:p>
    <w:p w14:paraId="3C94525E" w14:textId="77777777" w:rsidR="00C128CA" w:rsidRPr="001F5651" w:rsidRDefault="00ED3789" w:rsidP="001F5651">
      <w:pPr>
        <w:spacing w:after="0" w:line="360" w:lineRule="auto"/>
        <w:rPr>
          <w:rFonts w:cstheme="minorHAnsi"/>
          <w:color w:val="202020"/>
          <w:sz w:val="24"/>
          <w:szCs w:val="24"/>
          <w:lang w:val="pt-PT"/>
        </w:rPr>
      </w:pPr>
      <w:r w:rsidRPr="001F5651">
        <w:rPr>
          <w:rFonts w:cstheme="minorHAnsi"/>
          <w:color w:val="202020"/>
          <w:sz w:val="24"/>
          <w:szCs w:val="24"/>
          <w:shd w:val="clear" w:color="auto" w:fill="FFFFFF"/>
          <w:lang w:val="pt-PT"/>
        </w:rPr>
        <w:t xml:space="preserve">“Embora o restauro ecológico se tenha tornado uma prioridade na Europa, ainda estamos a perder habitats prioritários para a conservação. Os nossos resultados destacam insuficiências cruciais que precisam de ser abordadas para alcançar todo o potencial da Rede Natura 2000, interromper a perda de biodiversidade e cumprir os objetivos de uma nova estrutura global de biodiversidade que será definida em breve pela Convenção das Nações Unidas sobre Diversidade Biológica. É fundamental investir na conciliação da agricultura com a conservação da biodiversidade”, refere Jorge Palmeirim, investigador do cE3c, em Ciências </w:t>
      </w:r>
      <w:proofErr w:type="spellStart"/>
      <w:r w:rsidRPr="001F5651">
        <w:rPr>
          <w:rFonts w:cstheme="minorHAnsi"/>
          <w:color w:val="202020"/>
          <w:sz w:val="24"/>
          <w:szCs w:val="24"/>
          <w:shd w:val="clear" w:color="auto" w:fill="FFFFFF"/>
          <w:lang w:val="pt-PT"/>
        </w:rPr>
        <w:t>ULisboa</w:t>
      </w:r>
      <w:proofErr w:type="spellEnd"/>
      <w:r w:rsidRPr="001F5651">
        <w:rPr>
          <w:rFonts w:cstheme="minorHAnsi"/>
          <w:color w:val="202020"/>
          <w:sz w:val="24"/>
          <w:szCs w:val="24"/>
          <w:shd w:val="clear" w:color="auto" w:fill="FFFFFF"/>
          <w:lang w:val="pt-PT"/>
        </w:rPr>
        <w:t xml:space="preserve">, e </w:t>
      </w:r>
      <w:proofErr w:type="spellStart"/>
      <w:r w:rsidRPr="001F5651">
        <w:rPr>
          <w:rFonts w:cstheme="minorHAnsi"/>
          <w:color w:val="202020"/>
          <w:sz w:val="24"/>
          <w:szCs w:val="24"/>
          <w:shd w:val="clear" w:color="auto" w:fill="FFFFFF"/>
          <w:lang w:val="pt-PT"/>
        </w:rPr>
        <w:t>co-autor</w:t>
      </w:r>
      <w:proofErr w:type="spellEnd"/>
      <w:r w:rsidRPr="001F5651">
        <w:rPr>
          <w:rFonts w:cstheme="minorHAnsi"/>
          <w:color w:val="202020"/>
          <w:sz w:val="24"/>
          <w:szCs w:val="24"/>
          <w:shd w:val="clear" w:color="auto" w:fill="FFFFFF"/>
          <w:lang w:val="pt-PT"/>
        </w:rPr>
        <w:t xml:space="preserve"> do estudo.</w:t>
      </w:r>
    </w:p>
    <w:p w14:paraId="03934F95" w14:textId="77777777" w:rsidR="00C128CA" w:rsidRPr="001F5651" w:rsidRDefault="00ED3789" w:rsidP="001F5651">
      <w:pPr>
        <w:spacing w:after="0" w:line="360" w:lineRule="auto"/>
        <w:rPr>
          <w:rFonts w:cstheme="minorHAnsi"/>
          <w:color w:val="202020"/>
          <w:sz w:val="24"/>
          <w:szCs w:val="24"/>
          <w:lang w:val="pt-PT"/>
        </w:rPr>
      </w:pPr>
      <w:r w:rsidRPr="001F5651">
        <w:rPr>
          <w:rFonts w:cstheme="minorHAnsi"/>
          <w:color w:val="202020"/>
          <w:sz w:val="24"/>
          <w:szCs w:val="24"/>
          <w:u w:val="single"/>
          <w:shd w:val="clear" w:color="auto" w:fill="FFFFFF"/>
          <w:lang w:val="pt-PT"/>
        </w:rPr>
        <w:t>Referência do artigo:</w:t>
      </w:r>
    </w:p>
    <w:p w14:paraId="0ED66A43" w14:textId="6BAAF747" w:rsidR="00ED3789" w:rsidRPr="001F5651" w:rsidRDefault="00ED3789" w:rsidP="001F5651">
      <w:pPr>
        <w:spacing w:after="0" w:line="360" w:lineRule="auto"/>
        <w:rPr>
          <w:rFonts w:cstheme="minorHAnsi"/>
          <w:color w:val="202020"/>
          <w:sz w:val="24"/>
          <w:szCs w:val="24"/>
          <w:u w:val="single"/>
          <w:shd w:val="clear" w:color="auto" w:fill="FFFFFF"/>
          <w:lang w:val="pt-PT"/>
        </w:rPr>
      </w:pPr>
      <w:r w:rsidRPr="001F5651">
        <w:rPr>
          <w:rFonts w:cstheme="minorHAnsi"/>
          <w:color w:val="202020"/>
          <w:sz w:val="24"/>
          <w:szCs w:val="24"/>
          <w:shd w:val="clear" w:color="auto" w:fill="FFFFFF"/>
        </w:rPr>
        <w:lastRenderedPageBreak/>
        <w:t>Gameiro J., Silva J.P., Franco</w:t>
      </w:r>
      <w:r w:rsidR="00C128CA" w:rsidRPr="001F5651">
        <w:rPr>
          <w:rFonts w:cstheme="minorHAnsi"/>
          <w:color w:val="202020"/>
          <w:sz w:val="24"/>
          <w:szCs w:val="24"/>
          <w:shd w:val="clear" w:color="auto" w:fill="FFFFFF"/>
        </w:rPr>
        <w:t xml:space="preserve"> </w:t>
      </w:r>
      <w:r w:rsidRPr="001F5651">
        <w:rPr>
          <w:rFonts w:cstheme="minorHAnsi"/>
          <w:color w:val="202020"/>
          <w:sz w:val="24"/>
          <w:szCs w:val="24"/>
          <w:shd w:val="clear" w:color="auto" w:fill="FFFFFF"/>
        </w:rPr>
        <w:t xml:space="preserve">A., </w:t>
      </w:r>
      <w:proofErr w:type="spellStart"/>
      <w:r w:rsidRPr="001F5651">
        <w:rPr>
          <w:rFonts w:cstheme="minorHAnsi"/>
          <w:color w:val="202020"/>
          <w:sz w:val="24"/>
          <w:szCs w:val="24"/>
          <w:shd w:val="clear" w:color="auto" w:fill="FFFFFF"/>
        </w:rPr>
        <w:t>Palmeirim</w:t>
      </w:r>
      <w:proofErr w:type="spellEnd"/>
      <w:r w:rsidR="00C128CA" w:rsidRPr="001F5651">
        <w:rPr>
          <w:rFonts w:cstheme="minorHAnsi"/>
          <w:color w:val="202020"/>
          <w:sz w:val="24"/>
          <w:szCs w:val="24"/>
          <w:shd w:val="clear" w:color="auto" w:fill="FFFFFF"/>
        </w:rPr>
        <w:t xml:space="preserve"> </w:t>
      </w:r>
      <w:r w:rsidRPr="001F5651">
        <w:rPr>
          <w:rFonts w:cstheme="minorHAnsi"/>
          <w:color w:val="202020"/>
          <w:sz w:val="24"/>
          <w:szCs w:val="24"/>
          <w:shd w:val="clear" w:color="auto" w:fill="FFFFFF"/>
        </w:rPr>
        <w:t>J.,</w:t>
      </w:r>
      <w:r w:rsidR="00C128CA" w:rsidRPr="001F5651">
        <w:rPr>
          <w:rFonts w:cstheme="minorHAnsi"/>
          <w:color w:val="202020"/>
          <w:sz w:val="24"/>
          <w:szCs w:val="24"/>
          <w:shd w:val="clear" w:color="auto" w:fill="FFFFFF"/>
        </w:rPr>
        <w:t xml:space="preserve"> </w:t>
      </w:r>
      <w:r w:rsidRPr="001F5651">
        <w:rPr>
          <w:rFonts w:cstheme="minorHAnsi"/>
          <w:color w:val="202020"/>
          <w:sz w:val="24"/>
          <w:szCs w:val="24"/>
          <w:shd w:val="clear" w:color="auto" w:fill="FFFFFF"/>
        </w:rPr>
        <w:t xml:space="preserve">Effectiveness of the European Natura 2000 network at protecting Western Europe's </w:t>
      </w:r>
      <w:proofErr w:type="spellStart"/>
      <w:r w:rsidRPr="001F5651">
        <w:rPr>
          <w:rFonts w:cstheme="minorHAnsi"/>
          <w:color w:val="202020"/>
          <w:sz w:val="24"/>
          <w:szCs w:val="24"/>
          <w:shd w:val="clear" w:color="auto" w:fill="FFFFFF"/>
        </w:rPr>
        <w:t>agro</w:t>
      </w:r>
      <w:proofErr w:type="spellEnd"/>
      <w:r w:rsidRPr="001F5651">
        <w:rPr>
          <w:rFonts w:cstheme="minorHAnsi"/>
          <w:color w:val="202020"/>
          <w:sz w:val="24"/>
          <w:szCs w:val="24"/>
          <w:shd w:val="clear" w:color="auto" w:fill="FFFFFF"/>
        </w:rPr>
        <w:t>-steppes (2020),</w:t>
      </w:r>
      <w:r w:rsidR="00C128CA" w:rsidRPr="001F5651">
        <w:rPr>
          <w:rFonts w:cstheme="minorHAnsi"/>
          <w:color w:val="202020"/>
          <w:sz w:val="24"/>
          <w:szCs w:val="24"/>
          <w:shd w:val="clear" w:color="auto" w:fill="FFFFFF"/>
        </w:rPr>
        <w:t xml:space="preserve"> </w:t>
      </w:r>
      <w:r w:rsidRPr="001F5651">
        <w:rPr>
          <w:rStyle w:val="nfase"/>
          <w:rFonts w:cstheme="minorHAnsi"/>
          <w:color w:val="202020"/>
          <w:sz w:val="24"/>
          <w:szCs w:val="24"/>
          <w:shd w:val="clear" w:color="auto" w:fill="FFFFFF"/>
        </w:rPr>
        <w:t>Biological Conservation</w:t>
      </w:r>
      <w:r w:rsidRPr="001F5651">
        <w:rPr>
          <w:rFonts w:cstheme="minorHAnsi"/>
          <w:color w:val="202020"/>
          <w:sz w:val="24"/>
          <w:szCs w:val="24"/>
          <w:shd w:val="clear" w:color="auto" w:fill="FFFFFF"/>
        </w:rPr>
        <w:t>.</w:t>
      </w:r>
      <w:r w:rsidR="00C128CA" w:rsidRPr="001F5651">
        <w:rPr>
          <w:rFonts w:cstheme="minorHAnsi"/>
          <w:color w:val="202020"/>
          <w:sz w:val="24"/>
          <w:szCs w:val="24"/>
          <w:shd w:val="clear" w:color="auto" w:fill="FFFFFF"/>
        </w:rPr>
        <w:t xml:space="preserve"> </w:t>
      </w:r>
      <w:hyperlink r:id="rId7" w:history="1">
        <w:r w:rsidR="00C128CA" w:rsidRPr="001F5651">
          <w:rPr>
            <w:rStyle w:val="Hiperligao"/>
            <w:rFonts w:cstheme="minorHAnsi"/>
            <w:sz w:val="24"/>
            <w:szCs w:val="24"/>
            <w:shd w:val="clear" w:color="auto" w:fill="FFFFFF"/>
            <w:lang w:val="pt-PT"/>
          </w:rPr>
          <w:t>https://doi.org/10.1016/j.biocon.2020.108681</w:t>
        </w:r>
      </w:hyperlink>
    </w:p>
    <w:p w14:paraId="18DD5A5A" w14:textId="7EDFF666" w:rsidR="00C67B96" w:rsidRPr="001F5651" w:rsidRDefault="00C67B96" w:rsidP="001F5651">
      <w:pPr>
        <w:spacing w:after="0" w:line="360" w:lineRule="auto"/>
        <w:rPr>
          <w:rFonts w:cstheme="minorHAnsi"/>
          <w:color w:val="202020"/>
          <w:sz w:val="24"/>
          <w:szCs w:val="24"/>
          <w:u w:val="single"/>
          <w:shd w:val="clear" w:color="auto" w:fill="FFFFFF"/>
          <w:lang w:val="pt-PT"/>
        </w:rPr>
      </w:pPr>
    </w:p>
    <w:p w14:paraId="70FCA0BC" w14:textId="6B9BA29F" w:rsidR="00C67B96" w:rsidRPr="001F5651" w:rsidRDefault="00C67B96" w:rsidP="001F5651">
      <w:pPr>
        <w:spacing w:after="0" w:line="360" w:lineRule="auto"/>
        <w:rPr>
          <w:rFonts w:cstheme="minorHAnsi"/>
          <w:color w:val="202020"/>
          <w:sz w:val="24"/>
          <w:szCs w:val="24"/>
          <w:shd w:val="clear" w:color="auto" w:fill="FFFFFF"/>
          <w:lang w:val="pt-PT"/>
        </w:rPr>
      </w:pPr>
      <w:r w:rsidRPr="001F5651">
        <w:rPr>
          <w:rFonts w:cstheme="minorHAnsi"/>
          <w:sz w:val="24"/>
          <w:szCs w:val="24"/>
          <w:lang w:val="pt-PT"/>
        </w:rPr>
        <w:t xml:space="preserve">Gabinete de Comunicação - </w:t>
      </w:r>
      <w:r w:rsidRPr="001F5651">
        <w:rPr>
          <w:rFonts w:cstheme="minorHAnsi"/>
          <w:color w:val="202020"/>
          <w:sz w:val="24"/>
          <w:szCs w:val="24"/>
          <w:shd w:val="clear" w:color="auto" w:fill="FFFFFF"/>
          <w:lang w:val="pt-PT"/>
        </w:rPr>
        <w:t>Centro de Ecologia, Evolução e Alterações Ambientais – cE3c</w:t>
      </w:r>
    </w:p>
    <w:p w14:paraId="4CBAA679" w14:textId="013F48BC" w:rsidR="00C67B96" w:rsidRPr="001F5651" w:rsidRDefault="00C67B96" w:rsidP="001F5651">
      <w:pPr>
        <w:spacing w:after="0" w:line="360" w:lineRule="auto"/>
        <w:rPr>
          <w:rFonts w:cstheme="minorHAnsi"/>
          <w:sz w:val="24"/>
          <w:szCs w:val="24"/>
          <w:lang w:val="pt-PT"/>
        </w:rPr>
      </w:pPr>
      <w:r w:rsidRPr="001F5651">
        <w:rPr>
          <w:rFonts w:cstheme="minorHAnsi"/>
          <w:color w:val="202020"/>
          <w:sz w:val="24"/>
          <w:szCs w:val="24"/>
          <w:shd w:val="clear" w:color="auto" w:fill="FFFFFF"/>
          <w:lang w:val="pt-PT"/>
        </w:rPr>
        <w:t>Ciência na Imprensa Regional – Ciência Viva</w:t>
      </w:r>
    </w:p>
    <w:sectPr w:rsidR="00C67B96" w:rsidRPr="001F56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22"/>
    <w:rsid w:val="001F5651"/>
    <w:rsid w:val="002C2BE2"/>
    <w:rsid w:val="00533322"/>
    <w:rsid w:val="00C128CA"/>
    <w:rsid w:val="00C26C8F"/>
    <w:rsid w:val="00C67B96"/>
    <w:rsid w:val="00ED37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ADFE7"/>
  <w15:chartTrackingRefBased/>
  <w15:docId w15:val="{00DBF162-9B9D-403F-8E88-E48946EC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ED3789"/>
    <w:rPr>
      <w:b/>
      <w:bCs/>
    </w:rPr>
  </w:style>
  <w:style w:type="character" w:styleId="nfase">
    <w:name w:val="Emphasis"/>
    <w:basedOn w:val="Tipodeletrapredefinidodopargrafo"/>
    <w:uiPriority w:val="20"/>
    <w:qFormat/>
    <w:rsid w:val="00ED3789"/>
    <w:rPr>
      <w:i/>
      <w:iCs/>
    </w:rPr>
  </w:style>
  <w:style w:type="character" w:styleId="Hiperligao">
    <w:name w:val="Hyperlink"/>
    <w:basedOn w:val="Tipodeletrapredefinidodopargrafo"/>
    <w:uiPriority w:val="99"/>
    <w:unhideWhenUsed/>
    <w:rsid w:val="00ED3789"/>
    <w:rPr>
      <w:color w:val="0000FF"/>
      <w:u w:val="single"/>
    </w:rPr>
  </w:style>
  <w:style w:type="character" w:styleId="MenoNoResolvida">
    <w:name w:val="Unresolved Mention"/>
    <w:basedOn w:val="Tipodeletrapredefinidodopargrafo"/>
    <w:uiPriority w:val="99"/>
    <w:semiHidden/>
    <w:unhideWhenUsed/>
    <w:rsid w:val="00C12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16/j.biocon.2020.1086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encias.ulisboa.pt/" TargetMode="External"/><Relationship Id="rId5" Type="http://schemas.openxmlformats.org/officeDocument/2006/relationships/hyperlink" Target="https://ce3c.ciencias.ulisboa.pt/" TargetMode="External"/><Relationship Id="rId4" Type="http://schemas.openxmlformats.org/officeDocument/2006/relationships/hyperlink" Target="https://doi.org/10.1016/j.biocon.2020.108681"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801</Words>
  <Characters>4327</Characters>
  <Application>Microsoft Office Word</Application>
  <DocSecurity>0</DocSecurity>
  <Lines>36</Lines>
  <Paragraphs>10</Paragraphs>
  <ScaleCrop>false</ScaleCrop>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5</cp:revision>
  <dcterms:created xsi:type="dcterms:W3CDTF">2020-07-10T14:52:00Z</dcterms:created>
  <dcterms:modified xsi:type="dcterms:W3CDTF">2020-07-10T14:57:00Z</dcterms:modified>
</cp:coreProperties>
</file>