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16" w:rsidRPr="00A31016" w:rsidRDefault="00A31016" w:rsidP="00A310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  <w:r w:rsidRPr="00A31016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PT"/>
        </w:rPr>
        <w:t>Células do pólen mantêm memória para controlar genes</w:t>
      </w:r>
    </w:p>
    <w:p w:rsidR="00A31016" w:rsidRDefault="00A31016" w:rsidP="00A3101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8D6BA7" w:rsidRPr="008D6BA7" w:rsidRDefault="008D6BA7" w:rsidP="008D6BA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</w:pPr>
      <w:r w:rsidRPr="008D6BA7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C</w:t>
      </w:r>
      <w:r w:rsidRPr="00A310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 xml:space="preserve">ientistas do Instituto Gulbenkian de Ciência (IGC) e de </w:t>
      </w:r>
      <w:proofErr w:type="spellStart"/>
      <w:r w:rsidRPr="00A310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Cold</w:t>
      </w:r>
      <w:proofErr w:type="spellEnd"/>
      <w:r w:rsidRPr="00A310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 xml:space="preserve"> Spring </w:t>
      </w:r>
      <w:proofErr w:type="spellStart"/>
      <w:r w:rsidRPr="00A310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Harbor</w:t>
      </w:r>
      <w:proofErr w:type="spellEnd"/>
      <w:r w:rsidRPr="00A310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 xml:space="preserve"> </w:t>
      </w:r>
      <w:proofErr w:type="spellStart"/>
      <w:r w:rsidRPr="00A310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Laboratory</w:t>
      </w:r>
      <w:proofErr w:type="spellEnd"/>
      <w:r w:rsidRPr="00A310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 xml:space="preserve"> (CSHL), nos EUA, descobriram um novo mecanismo nos grãos de pólen e nas sementes que silencia sequências potencialmente mutagénicas de </w:t>
      </w:r>
      <w:proofErr w:type="gramStart"/>
      <w:r w:rsidRPr="00A310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DNA</w:t>
      </w:r>
      <w:proofErr w:type="gramEnd"/>
      <w:r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 xml:space="preserve"> móvel, evitando assim que ocorram</w:t>
      </w:r>
      <w:r w:rsidRPr="00A310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 xml:space="preserve"> dano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s</w:t>
      </w:r>
      <w:r w:rsidRPr="00A310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 xml:space="preserve"> nas novas plantas.</w:t>
      </w:r>
    </w:p>
    <w:p w:rsidR="008E2BB2" w:rsidRDefault="00354B30"/>
    <w:p w:rsidR="00A31016" w:rsidRDefault="00A31016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Em qualquer organismo vivo, todas as células têm o mesmo </w:t>
      </w:r>
      <w:proofErr w:type="gram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DNA</w:t>
      </w:r>
      <w:proofErr w:type="gram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, mas a identidade de cada célula é definida pela combinação de genes que estão ligados ou desligados num determinado momento. Nos animais, esta memória celular é apagada entre gerações, para que o novo ovo não tenha memória, e assim tenha potencial para originar qualquer tipo de célula. Pelo contrário, nas plantas com flor a memória celular passa de geração em geração, tendo um risco potencial 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n</w:t>
      </w: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o desenvolvimento das novas plantas. </w:t>
      </w:r>
    </w:p>
    <w:p w:rsidR="0065112C" w:rsidRDefault="0065112C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65112C" w:rsidRDefault="00A31016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Num estudo publicado esta semana na revista científica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Cell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*, cientistas do Instituto Gulbenkian de Ciência (IGC) e de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Cold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Spring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Harbor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Laboratory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(CSHL), nos EUA, descobriram um novo mecanismo nos grãos de pólen e nas sementes que silencia sequências potencialmente mutagénicas de </w:t>
      </w:r>
      <w:proofErr w:type="gram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DNA</w:t>
      </w:r>
      <w:proofErr w:type="gram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móvel, evitando assim que haja um dano nas novas plantas.</w:t>
      </w:r>
    </w:p>
    <w:p w:rsidR="0065112C" w:rsidRDefault="0065112C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A31016" w:rsidRDefault="00A31016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Um dos principais mecanismos que contribui para a memória celular é a adição de um grupo químico – o grupo metilo – a sequências de </w:t>
      </w:r>
      <w:proofErr w:type="gram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DNA</w:t>
      </w:r>
      <w:proofErr w:type="gram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(um processo chamado de metilação). A metilação do </w:t>
      </w:r>
      <w:proofErr w:type="gram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DNA</w:t>
      </w:r>
      <w:proofErr w:type="gram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desliga os genes. Estas alterações na expressão de genes que são hereditárias, mas que não estão escritas diretamente na sequência de </w:t>
      </w:r>
      <w:proofErr w:type="gram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DNA</w:t>
      </w:r>
      <w:proofErr w:type="gram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, são chamadas de epigenéticas. </w:t>
      </w:r>
    </w:p>
    <w:p w:rsidR="0065112C" w:rsidRDefault="0065112C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A31016" w:rsidRDefault="00A31016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Usando a planta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A31016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PT"/>
        </w:rPr>
        <w:t>Arabidopsis</w:t>
      </w:r>
      <w:proofErr w:type="spellEnd"/>
      <w:r w:rsidRPr="00A31016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A31016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PT"/>
        </w:rPr>
        <w:t>thaliana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, a equipa de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Jörg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Becker e José Feijó no IGC, e Robert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Martienssen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e colegas, em CSHL, analisaram o genoma de grãos de pólen e as suas células precursoras, os micrósporos, e determinaram as sequências de </w:t>
      </w:r>
      <w:proofErr w:type="gram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DNA</w:t>
      </w:r>
      <w:proofErr w:type="gram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que estavam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metiladas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. </w:t>
      </w:r>
    </w:p>
    <w:p w:rsidR="0065112C" w:rsidRDefault="0065112C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65112C" w:rsidRDefault="00A31016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Joseph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Calarco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(do laboratório de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Martienssen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) e Filipe Borges (do laboratório de Becker) viram que a metilação do </w:t>
      </w:r>
      <w:proofErr w:type="gram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DNA</w:t>
      </w:r>
      <w:proofErr w:type="gram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é maioritariamente mantida nos micrósporos e nos grãos de pólen. Mas existem diferenças entre estas células. Nos grãos de pólen, algumas sequências de </w:t>
      </w:r>
      <w:proofErr w:type="gram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DNA</w:t>
      </w:r>
      <w:proofErr w:type="gram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são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metiladas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nas células sexuais mas não no núcleo vegetativo, e vice-versa.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</w:t>
      </w: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Entre estes genes não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metilados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estão genes móveis, </w:t>
      </w:r>
      <w:r w:rsidR="008D6BA7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os </w:t>
      </w:r>
      <w:proofErr w:type="spellStart"/>
      <w:r w:rsidR="008D6BA7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transposões</w:t>
      </w:r>
      <w:proofErr w:type="spellEnd"/>
      <w:r w:rsidR="008D6BA7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, que podem</w:t>
      </w: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tornar</w:t>
      </w:r>
      <w:r w:rsidR="008D6BA7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-se</w:t>
      </w: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ativos e originar mutações.</w:t>
      </w:r>
      <w:r w:rsidR="008D6BA7">
        <w:rPr>
          <w:rFonts w:ascii="Arial" w:eastAsia="Times New Roman" w:hAnsi="Arial" w:cs="Arial"/>
          <w:color w:val="222222"/>
          <w:sz w:val="12"/>
          <w:szCs w:val="12"/>
          <w:lang w:eastAsia="pt-PT"/>
        </w:rPr>
        <w:t xml:space="preserve"> </w:t>
      </w: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Esta equipa de investigação descobriu que esta situação pode ser prevenida por pequenas sequências de </w:t>
      </w:r>
      <w:proofErr w:type="gram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RNA</w:t>
      </w:r>
      <w:proofErr w:type="gram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(chamadas de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siRNA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) que repõem a metilação dos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transposões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no embrião.</w:t>
      </w:r>
    </w:p>
    <w:p w:rsidR="0065112C" w:rsidRDefault="0065112C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A31016" w:rsidRPr="00A31016" w:rsidRDefault="0065112C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“</w:t>
      </w:r>
      <w:r w:rsidR="00A31016"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Nós revelámos um mecanismo nas células sexuais que previne a ativação de </w:t>
      </w:r>
      <w:proofErr w:type="spellStart"/>
      <w:r w:rsidR="00A31016"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transposões</w:t>
      </w:r>
      <w:proofErr w:type="spellEnd"/>
      <w:r w:rsidR="00A31016"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potencialmente prejudiciais e, ao mesmo tempo, depois da fusão das células sexuais masculinas e femininas, permite a formação de uma célula com total capacidade para se tornar em qualquer tipo de célula, que 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dará origem a uma nova geração”, explica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Jörg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Becker.</w:t>
      </w: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“</w:t>
      </w:r>
      <w:r w:rsidR="00A31016"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Por outro lado, se na célula </w:t>
      </w:r>
      <w:r w:rsidR="00A31016"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lastRenderedPageBreak/>
        <w:t xml:space="preserve">do ovo as sequências de </w:t>
      </w:r>
      <w:proofErr w:type="spellStart"/>
      <w:r w:rsidR="00A31016"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siRNA</w:t>
      </w:r>
      <w:proofErr w:type="spellEnd"/>
      <w:r w:rsidR="00A31016"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oriundas da célula feminina não corresponderem aos </w:t>
      </w:r>
      <w:proofErr w:type="spellStart"/>
      <w:r w:rsidR="00A31016"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transposões</w:t>
      </w:r>
      <w:proofErr w:type="spellEnd"/>
      <w:r w:rsidR="00A31016"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que vêm da célula masculina, estes podem escapar ao silenciamento no embrião em desenvolvimento, com potenciais danos para a nova planta gerada. Esta ativação não controlada dos </w:t>
      </w:r>
      <w:proofErr w:type="spellStart"/>
      <w:r w:rsidR="00A31016"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transposões</w:t>
      </w:r>
      <w:proofErr w:type="spellEnd"/>
      <w:r w:rsidR="00A31016"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pode, pelo menos em parte, explicar barreiras de hibridização existentes, nas quais cruzamentos entre espécies resultam no aborto de sementes ou infertilidade. A quebra destas barreiras levaria a um aumento na probabilidade dos produtores de plantas melhorarem as culturas de espécies através do uso do fenómeno de vigor híbrido, no qual a descendência mostra qualidades superiores aos seus progenitores, exemplificado em vários híbridos de milho e arroz.</w:t>
      </w:r>
      <w:r w:rsidR="008D6BA7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”</w:t>
      </w:r>
    </w:p>
    <w:p w:rsidR="00A31016" w:rsidRDefault="00A31016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A31016" w:rsidRPr="00A31016" w:rsidRDefault="00A31016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Era sabido que as plantas com flor são uma exceção à regra de reposição da memória celular, visto que estas modificações são herdadas por centenas de gerações. Mas a extensão a que isto ocorre nas células sexuais das plantas e qual a contribuição da reprogramação epigenética do genoma permanecia desconhecida até agora. O mecanismo agora descrito pode servir como forte argumento para explicar como a reprodução sexual evoluiu e se tornou tão predominante na maioria dos organismos superiores.</w:t>
      </w:r>
    </w:p>
    <w:p w:rsidR="00A31016" w:rsidRPr="00A31016" w:rsidRDefault="00A31016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</w:p>
    <w:p w:rsidR="00A31016" w:rsidRPr="00A31016" w:rsidRDefault="00A31016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Este estudo foi realizado com financiamentos do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National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Institutes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of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Health</w:t>
      </w:r>
      <w:proofErr w:type="spellEnd"/>
      <w:r w:rsidRPr="00A310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(NIH), nos Estados Unidos da América, e da Fundação para a Ciência e a Tecnologia (FCT), em Portugal.</w:t>
      </w:r>
    </w:p>
    <w:p w:rsidR="00A31016" w:rsidRDefault="00A31016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</w:p>
    <w:p w:rsidR="00A31016" w:rsidRDefault="00A31016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</w:p>
    <w:p w:rsidR="00354B30" w:rsidRDefault="00354B30" w:rsidP="00A31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PT"/>
        </w:rPr>
      </w:pPr>
    </w:p>
    <w:p w:rsidR="00A31016" w:rsidRPr="00A31016" w:rsidRDefault="00A31016" w:rsidP="00A310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A31016">
        <w:rPr>
          <w:rFonts w:eastAsia="Times New Roman" w:cstheme="minorHAnsi"/>
          <w:color w:val="222222"/>
          <w:sz w:val="24"/>
          <w:szCs w:val="24"/>
          <w:lang w:eastAsia="pt-PT"/>
        </w:rPr>
        <w:t>Referência do Artigo:</w:t>
      </w:r>
    </w:p>
    <w:p w:rsidR="00A31016" w:rsidRPr="00A31016" w:rsidRDefault="00A31016" w:rsidP="00A31016">
      <w:pP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 w:eastAsia="pt-PT"/>
        </w:rPr>
      </w:pPr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 Joseph P. </w:t>
      </w:r>
      <w:proofErr w:type="spellStart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Calarco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, Filipe Borges, Mark T.A. </w:t>
      </w:r>
      <w:proofErr w:type="spellStart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Donoghue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, </w:t>
      </w:r>
      <w:proofErr w:type="spellStart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Frédéric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 Van Ex, </w:t>
      </w:r>
      <w:proofErr w:type="spellStart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Pauline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 E. </w:t>
      </w:r>
      <w:proofErr w:type="spellStart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Julien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, Telma Lopes, Rui </w:t>
      </w:r>
      <w:proofErr w:type="spellStart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Gardner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, </w:t>
      </w:r>
      <w:proofErr w:type="spellStart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Frédéric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Berger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, José A. Feijó, </w:t>
      </w:r>
      <w:proofErr w:type="spellStart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Jörg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 D. Becker, Robert A. </w:t>
      </w:r>
      <w:proofErr w:type="spellStart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Martienssen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. </w:t>
      </w:r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 w:eastAsia="pt-PT"/>
        </w:rPr>
        <w:t>(2012)</w:t>
      </w:r>
      <w:r>
        <w:rPr>
          <w:rFonts w:ascii="Calibri" w:eastAsia="Times New Roman" w:hAnsi="Calibri" w:cs="Calibri"/>
          <w:color w:val="222222"/>
          <w:sz w:val="24"/>
          <w:szCs w:val="24"/>
          <w:lang w:val="en-US" w:eastAsia="pt-PT"/>
        </w:rPr>
        <w:t xml:space="preserve">, </w:t>
      </w:r>
      <w:r w:rsidRPr="00A31016">
        <w:rPr>
          <w:rFonts w:ascii="Calibri" w:eastAsia="Times New Roman" w:hAnsi="Calibri" w:cs="Calibri"/>
          <w:i/>
          <w:iCs/>
          <w:color w:val="222222"/>
          <w:sz w:val="24"/>
          <w:szCs w:val="24"/>
          <w:shd w:val="clear" w:color="auto" w:fill="FFFFFF"/>
          <w:lang w:val="en-US" w:eastAsia="pt-PT"/>
        </w:rPr>
        <w:t xml:space="preserve">Reprogramming of DNA </w:t>
      </w:r>
      <w:proofErr w:type="spellStart"/>
      <w:r w:rsidRPr="00A31016">
        <w:rPr>
          <w:rFonts w:ascii="Calibri" w:eastAsia="Times New Roman" w:hAnsi="Calibri" w:cs="Calibri"/>
          <w:i/>
          <w:iCs/>
          <w:color w:val="222222"/>
          <w:sz w:val="24"/>
          <w:szCs w:val="24"/>
          <w:shd w:val="clear" w:color="auto" w:fill="FFFFFF"/>
          <w:lang w:val="en-US" w:eastAsia="pt-PT"/>
        </w:rPr>
        <w:t>methylation</w:t>
      </w:r>
      <w:proofErr w:type="spellEnd"/>
      <w:r w:rsidRPr="00A31016">
        <w:rPr>
          <w:rFonts w:ascii="Calibri" w:eastAsia="Times New Roman" w:hAnsi="Calibri" w:cs="Calibri"/>
          <w:i/>
          <w:iCs/>
          <w:color w:val="222222"/>
          <w:sz w:val="24"/>
          <w:szCs w:val="24"/>
          <w:shd w:val="clear" w:color="auto" w:fill="FFFFFF"/>
          <w:lang w:val="en-US" w:eastAsia="pt-PT"/>
        </w:rPr>
        <w:t xml:space="preserve"> in pollen guides epigenetic inheritance via small </w:t>
      </w:r>
      <w:proofErr w:type="spellStart"/>
      <w:r w:rsidRPr="00A31016">
        <w:rPr>
          <w:rFonts w:ascii="Calibri" w:eastAsia="Times New Roman" w:hAnsi="Calibri" w:cs="Calibri"/>
          <w:i/>
          <w:iCs/>
          <w:color w:val="222222"/>
          <w:sz w:val="24"/>
          <w:szCs w:val="24"/>
          <w:shd w:val="clear" w:color="auto" w:fill="FFFFFF"/>
          <w:lang w:val="en-US" w:eastAsia="pt-PT"/>
        </w:rPr>
        <w:t>RNA.</w:t>
      </w:r>
      <w:r w:rsidRPr="00A31016">
        <w:rPr>
          <w:rFonts w:ascii="Calibri" w:eastAsia="Times New Roman" w:hAnsi="Calibri" w:cs="Calibri"/>
          <w:b/>
          <w:bCs/>
          <w:color w:val="222222"/>
          <w:sz w:val="24"/>
          <w:szCs w:val="24"/>
          <w:shd w:val="clear" w:color="auto" w:fill="FFFFFF"/>
          <w:lang w:val="en-US" w:eastAsia="pt-PT"/>
        </w:rPr>
        <w:t>Cell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 w:eastAsia="pt-PT"/>
        </w:rPr>
        <w:t>.</w:t>
      </w:r>
    </w:p>
    <w:p w:rsidR="00A31016" w:rsidRPr="00A31016" w:rsidRDefault="00A31016" w:rsidP="00A31016">
      <w:pP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 w:eastAsia="pt-PT"/>
        </w:rPr>
      </w:pPr>
    </w:p>
    <w:p w:rsidR="00A31016" w:rsidRPr="00A31016" w:rsidRDefault="00A31016" w:rsidP="00A310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A31016">
        <w:rPr>
          <w:rFonts w:eastAsia="Times New Roman" w:cstheme="minorHAnsi"/>
          <w:b/>
          <w:bCs/>
          <w:color w:val="222222"/>
          <w:sz w:val="24"/>
          <w:szCs w:val="24"/>
          <w:lang w:eastAsia="pt-PT"/>
        </w:rPr>
        <w:t>Imagem:</w:t>
      </w:r>
    </w:p>
    <w:p w:rsidR="00A31016" w:rsidRDefault="00A31016" w:rsidP="00A31016"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Mapa do estado de metilação do genoma das células sexuais masculinas, e das suas células percursoras, de</w:t>
      </w:r>
      <w:r>
        <w:rPr>
          <w:rFonts w:ascii="Calibri" w:eastAsia="Times New Roman" w:hAnsi="Calibri" w:cs="Calibri"/>
          <w:color w:val="222222"/>
          <w:sz w:val="24"/>
          <w:szCs w:val="24"/>
          <w:lang w:eastAsia="pt-PT"/>
        </w:rPr>
        <w:t xml:space="preserve"> </w:t>
      </w:r>
      <w:proofErr w:type="spellStart"/>
      <w:r w:rsidRPr="00A31016">
        <w:rPr>
          <w:rFonts w:ascii="Calibri" w:eastAsia="Times New Roman" w:hAnsi="Calibri" w:cs="Calibri"/>
          <w:i/>
          <w:iCs/>
          <w:color w:val="222222"/>
          <w:sz w:val="24"/>
          <w:szCs w:val="24"/>
          <w:shd w:val="clear" w:color="auto" w:fill="FFFFFF"/>
          <w:lang w:eastAsia="pt-PT"/>
        </w:rPr>
        <w:t>Arabidopsis</w:t>
      </w:r>
      <w:proofErr w:type="spellEnd"/>
      <w:r w:rsidRPr="00A31016">
        <w:rPr>
          <w:rFonts w:ascii="Calibri" w:eastAsia="Times New Roman" w:hAnsi="Calibri" w:cs="Calibri"/>
          <w:i/>
          <w:iCs/>
          <w:color w:val="222222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A31016">
        <w:rPr>
          <w:rFonts w:ascii="Calibri" w:eastAsia="Times New Roman" w:hAnsi="Calibri" w:cs="Calibri"/>
          <w:i/>
          <w:iCs/>
          <w:color w:val="222222"/>
          <w:sz w:val="24"/>
          <w:szCs w:val="24"/>
          <w:shd w:val="clear" w:color="auto" w:fill="FFFFFF"/>
          <w:lang w:eastAsia="pt-PT"/>
        </w:rPr>
        <w:t>thaliana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 xml:space="preserve">. No centro, imagem de um grão de pólen com o núcleo vegetativo marcado a vermelho e as células sexuais a verde. (Créditos: Filipe Borges, IGC, e Joseph </w:t>
      </w:r>
      <w:proofErr w:type="spellStart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Calarco</w:t>
      </w:r>
      <w:proofErr w:type="spellEnd"/>
      <w:r w:rsidRPr="00A31016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pt-PT"/>
        </w:rPr>
        <w:t>, CSHL, 2012)</w:t>
      </w:r>
    </w:p>
    <w:sectPr w:rsidR="00A31016" w:rsidSect="00314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31016"/>
    <w:rsid w:val="0024012E"/>
    <w:rsid w:val="00314FB9"/>
    <w:rsid w:val="00354B30"/>
    <w:rsid w:val="0065112C"/>
    <w:rsid w:val="008D6BA7"/>
    <w:rsid w:val="00A31016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1016"/>
  </w:style>
  <w:style w:type="character" w:styleId="Hyperlink">
    <w:name w:val="Hyperlink"/>
    <w:basedOn w:val="DefaultParagraphFont"/>
    <w:uiPriority w:val="99"/>
    <w:unhideWhenUsed/>
    <w:rsid w:val="00A310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762</Words>
  <Characters>4118</Characters>
  <Application>Microsoft Office Word</Application>
  <DocSecurity>0</DocSecurity>
  <Lines>80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2012-09-20T16:20:00Z</dcterms:created>
  <dcterms:modified xsi:type="dcterms:W3CDTF">2012-09-20T16:39:00Z</dcterms:modified>
</cp:coreProperties>
</file>