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O ciberterrorismo existe?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 termo ciberterrorismo foi criado por Barry C. Collin, que o definiu como “a convergência entre terrorismo e ciberespaço” ou seja, o terrorismo no mundo virtual, onde “os programas de computador operam e a informação circula”. Dorothy Denning, em 2002, referiu-se ao ciberterrorismo como “o uso de ferramentas e técnicas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hacking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para infligir dano severo como a perda de vidas”. Ou seja, considera-se que existe um ataque ciberterrorista quando ele resulta em violência contra pessoas ou propriedade ou quando causa danos suficientes para provocar medo e, desta forma, alcançar objetivos políticos ou religiosos.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Apesar deste termo já ter feito capa em várias revistas e jornais de todo o mundo, não existem casos conhecidos ou comprovados que caibam na referida definição. E vemos confundidos, amiúde, os termos ciberterrorismo e cibercrime.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Isto não quer dizer, no entanto, que a ameaça não exista. A pressão e os instrumentos criados pelas autoridades mundiais no pós-11 de Setembro para monitorização e combate ao terrorismo transnacional levou a que estas organizações alterassem de forma significativa o seu modelo de organização e procurassem outros meios para desenvolver as suas actividades. Exemplos disto são o recrutamento de simpatizantes nas redes sociais, a angariação de fundos pela Internet e, de forma mais visível, a propaganda feita no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YouTube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e em serviços semelhantes.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proteção contra este tipo de ameaça é uma responsabilidade partilhada. Os Estados, seja por intervenção legislativa, seja pela criação de instrumentos técnicos adequados, têm um papel importante quer na prevenção quer na preparação para a eventual resposta a uma emergência. Por outro lado, a segurança das redes e da informação passa, também, por uma utilização segura e consciente da tecnologia por parte dos indivíduos, em casa ou no trabalho, por um maior enfoque na componente de segurança dos seus produtos por parte dos fabricantes de equipamento e produtores de software e pela aplicação de metodologias de análise de risco e políticas de segurança da informação nas empresas.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13-O ciberterrorismo existe-2078 c.docx</dc:title>
</cp:coreProperties>
</file>